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3254" w:rsidRPr="002C3DD7" w:rsidRDefault="00324437" w:rsidP="002C3DD7">
      <w:pPr>
        <w:spacing w:line="360" w:lineRule="auto"/>
        <w:jc w:val="both"/>
        <w:rPr>
          <w:rFonts w:ascii="Times New Roman" w:hAnsi="Times New Roman" w:cs="Times New Roman"/>
          <w:b/>
          <w:sz w:val="24"/>
          <w:szCs w:val="24"/>
        </w:rPr>
      </w:pPr>
      <w:r>
        <w:t xml:space="preserve">                 </w:t>
      </w:r>
      <w:r w:rsidRPr="002C3DD7">
        <w:rPr>
          <w:rFonts w:ascii="Times New Roman" w:hAnsi="Times New Roman" w:cs="Times New Roman"/>
          <w:sz w:val="24"/>
          <w:szCs w:val="24"/>
        </w:rPr>
        <w:t xml:space="preserve">                                             </w:t>
      </w:r>
      <w:r w:rsidRPr="002C3DD7">
        <w:rPr>
          <w:rFonts w:ascii="Times New Roman" w:hAnsi="Times New Roman" w:cs="Times New Roman"/>
          <w:b/>
          <w:sz w:val="24"/>
          <w:szCs w:val="24"/>
        </w:rPr>
        <w:t xml:space="preserve">CASE SUMMARY </w:t>
      </w:r>
    </w:p>
    <w:p w:rsidR="00F53254" w:rsidRPr="002C3DD7" w:rsidRDefault="00F53254" w:rsidP="002C3DD7">
      <w:pPr>
        <w:spacing w:line="360" w:lineRule="auto"/>
        <w:jc w:val="both"/>
        <w:rPr>
          <w:rFonts w:ascii="Times New Roman" w:hAnsi="Times New Roman" w:cs="Times New Roman"/>
          <w:b/>
          <w:sz w:val="24"/>
          <w:szCs w:val="24"/>
        </w:rPr>
      </w:pP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NAME: DEBORA SIMIYU L.L.B</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xml:space="preserve">SCHOOL: KENYATTA UNIVERSITY </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EMAIL ADDRESS:deborasimiyu05@gmail.com</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DATE OF SUBMISSION:</w:t>
      </w:r>
      <w:r w:rsidR="005629D6" w:rsidRPr="002C3DD7">
        <w:rPr>
          <w:rFonts w:ascii="Times New Roman" w:hAnsi="Times New Roman" w:cs="Times New Roman"/>
          <w:sz w:val="24"/>
          <w:szCs w:val="24"/>
        </w:rPr>
        <w:t xml:space="preserve"> 22</w:t>
      </w:r>
      <w:r w:rsidR="005629D6" w:rsidRPr="002C3DD7">
        <w:rPr>
          <w:rFonts w:ascii="Times New Roman" w:hAnsi="Times New Roman" w:cs="Times New Roman"/>
          <w:sz w:val="24"/>
          <w:szCs w:val="24"/>
          <w:vertAlign w:val="superscript"/>
        </w:rPr>
        <w:t>nd</w:t>
      </w:r>
      <w:r w:rsidR="005629D6" w:rsidRPr="002C3DD7">
        <w:rPr>
          <w:rFonts w:ascii="Times New Roman" w:hAnsi="Times New Roman" w:cs="Times New Roman"/>
          <w:sz w:val="24"/>
          <w:szCs w:val="24"/>
        </w:rPr>
        <w:t xml:space="preserve"> November, 2025</w:t>
      </w:r>
    </w:p>
    <w:p w:rsidR="00F53254" w:rsidRPr="002C3DD7" w:rsidRDefault="00F53254" w:rsidP="002C3DD7">
      <w:pPr>
        <w:spacing w:line="360" w:lineRule="auto"/>
        <w:jc w:val="both"/>
        <w:rPr>
          <w:rFonts w:ascii="Times New Roman" w:hAnsi="Times New Roman" w:cs="Times New Roman"/>
          <w:sz w:val="24"/>
          <w:szCs w:val="24"/>
        </w:rPr>
      </w:pP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xml:space="preserve">CASE NAME: Nairobi Map Service limited vs Ceitel Kenya Limited </w:t>
      </w:r>
      <w:r w:rsidRPr="002C3DD7">
        <w:rPr>
          <w:rFonts w:ascii="Times New Roman" w:hAnsi="Times New Roman" w:cs="Times New Roman"/>
          <w:sz w:val="24"/>
          <w:szCs w:val="24"/>
        </w:rPr>
        <w:t>&amp; 2 others</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CITATIONS: [2016] eKLR (High court of Kenya at Nairobi, Milimani Commercial &amp; Tax Division)</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JUDGE: Justice F. Tuiyott</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DATE OF JUDGMENT: April 26, 2016</w:t>
      </w:r>
    </w:p>
    <w:p w:rsidR="00F53254" w:rsidRPr="002C3DD7" w:rsidRDefault="00F53254" w:rsidP="002C3DD7">
      <w:pPr>
        <w:spacing w:line="360" w:lineRule="auto"/>
        <w:jc w:val="both"/>
        <w:rPr>
          <w:rFonts w:ascii="Times New Roman" w:hAnsi="Times New Roman" w:cs="Times New Roman"/>
          <w:sz w:val="24"/>
          <w:szCs w:val="24"/>
        </w:rPr>
      </w:pPr>
    </w:p>
    <w:p w:rsidR="00F53254" w:rsidRPr="002C3DD7" w:rsidRDefault="00324437" w:rsidP="002C3DD7">
      <w:pPr>
        <w:spacing w:line="360" w:lineRule="auto"/>
        <w:jc w:val="both"/>
        <w:rPr>
          <w:rFonts w:ascii="Times New Roman" w:hAnsi="Times New Roman" w:cs="Times New Roman"/>
          <w:b/>
          <w:sz w:val="24"/>
          <w:szCs w:val="24"/>
        </w:rPr>
      </w:pPr>
      <w:r w:rsidRPr="002C3DD7">
        <w:rPr>
          <w:rFonts w:ascii="Times New Roman" w:hAnsi="Times New Roman" w:cs="Times New Roman"/>
          <w:b/>
          <w:sz w:val="24"/>
          <w:szCs w:val="24"/>
        </w:rPr>
        <w:t>PARTIES</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Nairobi Map services limited, claimed ownership of copyright in the Kenya Administrat</w:t>
      </w:r>
      <w:r w:rsidRPr="002C3DD7">
        <w:rPr>
          <w:rFonts w:ascii="Times New Roman" w:hAnsi="Times New Roman" w:cs="Times New Roman"/>
          <w:sz w:val="24"/>
          <w:szCs w:val="24"/>
        </w:rPr>
        <w:t>ive Map. 1</w:t>
      </w:r>
      <w:r w:rsidRPr="002C3DD7">
        <w:rPr>
          <w:rFonts w:ascii="Times New Roman" w:hAnsi="Times New Roman" w:cs="Times New Roman"/>
          <w:sz w:val="24"/>
          <w:szCs w:val="24"/>
          <w:vertAlign w:val="superscript"/>
        </w:rPr>
        <w:t>st</w:t>
      </w:r>
      <w:r w:rsidRPr="002C3DD7">
        <w:rPr>
          <w:rFonts w:ascii="Times New Roman" w:hAnsi="Times New Roman" w:cs="Times New Roman"/>
          <w:sz w:val="24"/>
          <w:szCs w:val="24"/>
        </w:rPr>
        <w:t xml:space="preserve"> Defendant, Ceitel Kenya limited (later Zain Kenya limited, advertisers), 2</w:t>
      </w:r>
      <w:r w:rsidRPr="002C3DD7">
        <w:rPr>
          <w:rFonts w:ascii="Times New Roman" w:hAnsi="Times New Roman" w:cs="Times New Roman"/>
          <w:sz w:val="24"/>
          <w:szCs w:val="24"/>
          <w:vertAlign w:val="superscript"/>
        </w:rPr>
        <w:t>nd</w:t>
      </w:r>
      <w:r w:rsidRPr="002C3DD7">
        <w:rPr>
          <w:rFonts w:ascii="Times New Roman" w:hAnsi="Times New Roman" w:cs="Times New Roman"/>
          <w:sz w:val="24"/>
          <w:szCs w:val="24"/>
        </w:rPr>
        <w:t xml:space="preserve"> Defendant Media initiative limited (Advertising agent hired by the 1</w:t>
      </w:r>
      <w:r w:rsidRPr="002C3DD7">
        <w:rPr>
          <w:rFonts w:ascii="Times New Roman" w:hAnsi="Times New Roman" w:cs="Times New Roman"/>
          <w:sz w:val="24"/>
          <w:szCs w:val="24"/>
          <w:vertAlign w:val="superscript"/>
        </w:rPr>
        <w:t>st</w:t>
      </w:r>
      <w:r w:rsidRPr="002C3DD7">
        <w:rPr>
          <w:rFonts w:ascii="Times New Roman" w:hAnsi="Times New Roman" w:cs="Times New Roman"/>
          <w:sz w:val="24"/>
          <w:szCs w:val="24"/>
        </w:rPr>
        <w:t xml:space="preserve"> Defendant, 3</w:t>
      </w:r>
      <w:r w:rsidRPr="002C3DD7">
        <w:rPr>
          <w:rFonts w:ascii="Times New Roman" w:hAnsi="Times New Roman" w:cs="Times New Roman"/>
          <w:sz w:val="24"/>
          <w:szCs w:val="24"/>
          <w:vertAlign w:val="superscript"/>
        </w:rPr>
        <w:t>rd</w:t>
      </w:r>
      <w:r w:rsidRPr="002C3DD7">
        <w:rPr>
          <w:rFonts w:ascii="Times New Roman" w:hAnsi="Times New Roman" w:cs="Times New Roman"/>
          <w:sz w:val="24"/>
          <w:szCs w:val="24"/>
        </w:rPr>
        <w:t xml:space="preserve"> Defendant (sub-contracted to prepare the advertisement).</w:t>
      </w:r>
    </w:p>
    <w:p w:rsidR="00F53254" w:rsidRPr="002C3DD7" w:rsidRDefault="00324437" w:rsidP="002C3DD7">
      <w:pPr>
        <w:spacing w:line="360" w:lineRule="auto"/>
        <w:jc w:val="both"/>
        <w:rPr>
          <w:rFonts w:ascii="Times New Roman" w:hAnsi="Times New Roman" w:cs="Times New Roman"/>
          <w:b/>
          <w:sz w:val="24"/>
          <w:szCs w:val="24"/>
        </w:rPr>
      </w:pPr>
      <w:r w:rsidRPr="002C3DD7">
        <w:rPr>
          <w:rFonts w:ascii="Times New Roman" w:hAnsi="Times New Roman" w:cs="Times New Roman"/>
          <w:b/>
          <w:sz w:val="24"/>
          <w:szCs w:val="24"/>
        </w:rPr>
        <w:t xml:space="preserve">SUMMARY FACTS </w:t>
      </w:r>
    </w:p>
    <w:p w:rsidR="00F53254" w:rsidRPr="002C3DD7" w:rsidRDefault="005629D6"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xml:space="preserve"> </w:t>
      </w:r>
      <w:r w:rsidR="006E2138" w:rsidRPr="002C3DD7">
        <w:rPr>
          <w:rFonts w:ascii="Times New Roman" w:hAnsi="Times New Roman" w:cs="Times New Roman"/>
          <w:sz w:val="24"/>
          <w:szCs w:val="24"/>
        </w:rPr>
        <w:t>This matter come to court in the year 2011,</w:t>
      </w:r>
      <w:r w:rsidRPr="002C3DD7">
        <w:rPr>
          <w:rFonts w:ascii="Times New Roman" w:hAnsi="Times New Roman" w:cs="Times New Roman"/>
          <w:sz w:val="24"/>
          <w:szCs w:val="24"/>
        </w:rPr>
        <w:t xml:space="preserve"> the plaintiff </w:t>
      </w:r>
      <w:r w:rsidR="003300B1" w:rsidRPr="002C3DD7">
        <w:rPr>
          <w:rFonts w:ascii="Times New Roman" w:hAnsi="Times New Roman" w:cs="Times New Roman"/>
          <w:sz w:val="24"/>
          <w:szCs w:val="24"/>
        </w:rPr>
        <w:t>sued three</w:t>
      </w:r>
      <w:r w:rsidRPr="002C3DD7">
        <w:rPr>
          <w:rFonts w:ascii="Times New Roman" w:hAnsi="Times New Roman" w:cs="Times New Roman"/>
          <w:sz w:val="24"/>
          <w:szCs w:val="24"/>
        </w:rPr>
        <w:t xml:space="preserve"> defendants who he claimed had infr</w:t>
      </w:r>
      <w:r w:rsidR="006E2138" w:rsidRPr="002C3DD7">
        <w:rPr>
          <w:rFonts w:ascii="Times New Roman" w:hAnsi="Times New Roman" w:cs="Times New Roman"/>
          <w:sz w:val="24"/>
          <w:szCs w:val="24"/>
        </w:rPr>
        <w:t>inged on his copyright rights. He</w:t>
      </w:r>
      <w:r w:rsidR="003300B1" w:rsidRPr="002C3DD7">
        <w:rPr>
          <w:rFonts w:ascii="Times New Roman" w:hAnsi="Times New Roman" w:cs="Times New Roman"/>
          <w:sz w:val="24"/>
          <w:szCs w:val="24"/>
        </w:rPr>
        <w:t xml:space="preserve"> contented </w:t>
      </w:r>
      <w:r w:rsidRPr="002C3DD7">
        <w:rPr>
          <w:rFonts w:ascii="Times New Roman" w:hAnsi="Times New Roman" w:cs="Times New Roman"/>
          <w:sz w:val="24"/>
          <w:szCs w:val="24"/>
        </w:rPr>
        <w:t xml:space="preserve">to the court </w:t>
      </w:r>
      <w:r w:rsidR="006E2138" w:rsidRPr="002C3DD7">
        <w:rPr>
          <w:rFonts w:ascii="Times New Roman" w:hAnsi="Times New Roman" w:cs="Times New Roman"/>
          <w:sz w:val="24"/>
          <w:szCs w:val="24"/>
        </w:rPr>
        <w:t>that the</w:t>
      </w:r>
      <w:r w:rsidR="00324437" w:rsidRPr="002C3DD7">
        <w:rPr>
          <w:rFonts w:ascii="Times New Roman" w:hAnsi="Times New Roman" w:cs="Times New Roman"/>
          <w:sz w:val="24"/>
          <w:szCs w:val="24"/>
        </w:rPr>
        <w:t xml:space="preserve"> 1st defendant entered into a contract with 2nd defendant to prepare a commercial advertisemen</w:t>
      </w:r>
      <w:r w:rsidR="006E2138" w:rsidRPr="002C3DD7">
        <w:rPr>
          <w:rFonts w:ascii="Times New Roman" w:hAnsi="Times New Roman" w:cs="Times New Roman"/>
          <w:sz w:val="24"/>
          <w:szCs w:val="24"/>
        </w:rPr>
        <w:t>t, based on a map (Kenya Administrative Map) for</w:t>
      </w:r>
      <w:r w:rsidR="00324437" w:rsidRPr="002C3DD7">
        <w:rPr>
          <w:rFonts w:ascii="Times New Roman" w:hAnsi="Times New Roman" w:cs="Times New Roman"/>
          <w:sz w:val="24"/>
          <w:szCs w:val="24"/>
        </w:rPr>
        <w:t xml:space="preserve"> marketing purposes for the 1st defendant. After they had entered into a contract the 2</w:t>
      </w:r>
      <w:r w:rsidR="00324437" w:rsidRPr="002C3DD7">
        <w:rPr>
          <w:rFonts w:ascii="Times New Roman" w:hAnsi="Times New Roman" w:cs="Times New Roman"/>
          <w:sz w:val="24"/>
          <w:szCs w:val="24"/>
          <w:vertAlign w:val="superscript"/>
        </w:rPr>
        <w:t>nd</w:t>
      </w:r>
      <w:r w:rsidR="00324437" w:rsidRPr="002C3DD7">
        <w:rPr>
          <w:rFonts w:ascii="Times New Roman" w:hAnsi="Times New Roman" w:cs="Times New Roman"/>
          <w:sz w:val="24"/>
          <w:szCs w:val="24"/>
        </w:rPr>
        <w:t xml:space="preserve"> Defendant later entered a contract with the 3rd defendant (subcontract of 2nd defendant to do so).</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lastRenderedPageBreak/>
        <w:t xml:space="preserve"> Plaintiff contended that the 3rd defendant created a commercial television advert version but all of them were based on the</w:t>
      </w:r>
      <w:r w:rsidR="003300B1" w:rsidRPr="002C3DD7">
        <w:rPr>
          <w:rFonts w:ascii="Times New Roman" w:hAnsi="Times New Roman" w:cs="Times New Roman"/>
          <w:sz w:val="24"/>
          <w:szCs w:val="24"/>
        </w:rPr>
        <w:t xml:space="preserve"> plaintiff’s map</w:t>
      </w:r>
      <w:r w:rsidRPr="002C3DD7">
        <w:rPr>
          <w:rFonts w:ascii="Times New Roman" w:hAnsi="Times New Roman" w:cs="Times New Roman"/>
          <w:sz w:val="24"/>
          <w:szCs w:val="24"/>
        </w:rPr>
        <w:t>, and he did so without permission from the plaintiff.</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xml:space="preserve"> Plaintiff found the 3rd defendants vicariously liable for using his map without seeking permission. </w:t>
      </w:r>
      <w:r w:rsidR="003300B1" w:rsidRPr="002C3DD7">
        <w:rPr>
          <w:rFonts w:ascii="Times New Roman" w:hAnsi="Times New Roman" w:cs="Times New Roman"/>
          <w:sz w:val="24"/>
          <w:szCs w:val="24"/>
        </w:rPr>
        <w:t xml:space="preserve">The plaintiff went on to argue </w:t>
      </w:r>
      <w:r w:rsidRPr="002C3DD7">
        <w:rPr>
          <w:rFonts w:ascii="Times New Roman" w:hAnsi="Times New Roman" w:cs="Times New Roman"/>
          <w:sz w:val="24"/>
          <w:szCs w:val="24"/>
        </w:rPr>
        <w:t xml:space="preserve"> that the defendants inclusion in the Advertisement mad</w:t>
      </w:r>
      <w:r w:rsidRPr="002C3DD7">
        <w:rPr>
          <w:rFonts w:ascii="Times New Roman" w:hAnsi="Times New Roman" w:cs="Times New Roman"/>
          <w:sz w:val="24"/>
          <w:szCs w:val="24"/>
        </w:rPr>
        <w:t>e him suffer loss, as he was not able to enter into other contractual obligations with the competitors of the defendant.</w:t>
      </w:r>
      <w:r w:rsidR="003300B1" w:rsidRPr="002C3DD7">
        <w:rPr>
          <w:rFonts w:ascii="Times New Roman" w:hAnsi="Times New Roman" w:cs="Times New Roman"/>
          <w:sz w:val="24"/>
          <w:szCs w:val="24"/>
        </w:rPr>
        <w:t xml:space="preserve"> He wanted</w:t>
      </w:r>
      <w:r w:rsidRPr="002C3DD7">
        <w:rPr>
          <w:rFonts w:ascii="Times New Roman" w:hAnsi="Times New Roman" w:cs="Times New Roman"/>
          <w:sz w:val="24"/>
          <w:szCs w:val="24"/>
        </w:rPr>
        <w:t xml:space="preserve"> to be paid 300$ per day for each publication of his map based on a minimum time of 5 years– unless negotiated.</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xml:space="preserve"> 1st d</w:t>
      </w:r>
      <w:r w:rsidRPr="002C3DD7">
        <w:rPr>
          <w:rFonts w:ascii="Times New Roman" w:hAnsi="Times New Roman" w:cs="Times New Roman"/>
          <w:sz w:val="24"/>
          <w:szCs w:val="24"/>
        </w:rPr>
        <w:t xml:space="preserve">efendant repudiated the claims of the plaintiff that the plaintiff that the said map was his. He further states that the said map “Kenya Administrative Map” was not the main subject of the advertisement, that it was incidental but by virtue of Sec </w:t>
      </w:r>
      <w:r w:rsidRPr="002C3DD7">
        <w:rPr>
          <w:rFonts w:ascii="Times New Roman" w:hAnsi="Times New Roman" w:cs="Times New Roman"/>
          <w:sz w:val="24"/>
          <w:szCs w:val="24"/>
        </w:rPr>
        <w:t>2</w:t>
      </w:r>
      <w:r w:rsidRPr="002C3DD7">
        <w:rPr>
          <w:rFonts w:ascii="Times New Roman" w:hAnsi="Times New Roman" w:cs="Times New Roman"/>
          <w:sz w:val="24"/>
          <w:szCs w:val="24"/>
        </w:rPr>
        <w:t>6 of Co</w:t>
      </w:r>
      <w:r w:rsidRPr="002C3DD7">
        <w:rPr>
          <w:rFonts w:ascii="Times New Roman" w:hAnsi="Times New Roman" w:cs="Times New Roman"/>
          <w:sz w:val="24"/>
          <w:szCs w:val="24"/>
        </w:rPr>
        <w:t>pyright Act No 12 of 2001</w:t>
      </w:r>
      <w:r w:rsidRPr="002C3DD7">
        <w:rPr>
          <w:rFonts w:ascii="Times New Roman" w:hAnsi="Times New Roman" w:cs="Times New Roman"/>
          <w:sz w:val="24"/>
          <w:szCs w:val="24"/>
        </w:rPr>
        <w:t>, which states that copyright in any work does not include the right to control, the incidental inclusion of Artistic work in a film or broadcas</w:t>
      </w:r>
      <w:r w:rsidRPr="002C3DD7">
        <w:rPr>
          <w:rFonts w:ascii="Times New Roman" w:hAnsi="Times New Roman" w:cs="Times New Roman"/>
          <w:sz w:val="24"/>
          <w:szCs w:val="24"/>
        </w:rPr>
        <w:t xml:space="preserve">t </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xml:space="preserve"> Defendant admitted to having contracted both 2nd defendant but denied use of plain</w:t>
      </w:r>
      <w:r w:rsidRPr="002C3DD7">
        <w:rPr>
          <w:rFonts w:ascii="Times New Roman" w:hAnsi="Times New Roman" w:cs="Times New Roman"/>
          <w:sz w:val="24"/>
          <w:szCs w:val="24"/>
        </w:rPr>
        <w:t>tiff’s map.</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xml:space="preserve"> 2nd defendant denied claim of the plaintiff in defense. Defense filed and laid out 12th January 2010 and stated that inclusion of the plaintiff map in the advertisement was not expressly in main advertisement.</w:t>
      </w:r>
    </w:p>
    <w:p w:rsidR="00F53254" w:rsidRPr="002C3DD7" w:rsidRDefault="00324437" w:rsidP="002C3DD7">
      <w:pPr>
        <w:spacing w:line="360" w:lineRule="auto"/>
        <w:jc w:val="both"/>
        <w:rPr>
          <w:rFonts w:ascii="Times New Roman" w:hAnsi="Times New Roman" w:cs="Times New Roman"/>
          <w:b/>
          <w:sz w:val="24"/>
          <w:szCs w:val="24"/>
        </w:rPr>
      </w:pPr>
      <w:r w:rsidRPr="002C3DD7">
        <w:rPr>
          <w:rFonts w:ascii="Times New Roman" w:hAnsi="Times New Roman" w:cs="Times New Roman"/>
          <w:b/>
          <w:sz w:val="24"/>
          <w:szCs w:val="24"/>
        </w:rPr>
        <w:t>ISSUES RAISED</w:t>
      </w:r>
    </w:p>
    <w:p w:rsidR="00F53254" w:rsidRPr="002C3DD7" w:rsidRDefault="00324437" w:rsidP="002C3DD7">
      <w:pPr>
        <w:pStyle w:val="ListParagraph"/>
        <w:numPr>
          <w:ilvl w:val="0"/>
          <w:numId w:val="1"/>
        </w:num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Whether the plaintiff has copyright in the map known as the Kenya Administartive Map</w:t>
      </w:r>
    </w:p>
    <w:p w:rsidR="00F53254" w:rsidRPr="002C3DD7" w:rsidRDefault="00324437" w:rsidP="002C3DD7">
      <w:pPr>
        <w:pStyle w:val="ListParagraph"/>
        <w:numPr>
          <w:ilvl w:val="0"/>
          <w:numId w:val="1"/>
        </w:num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If issue 1) is Affirmative, whether the Defendants had infringed the plaintiffs copyright in the said map</w:t>
      </w:r>
    </w:p>
    <w:p w:rsidR="00F53254" w:rsidRPr="002C3DD7" w:rsidRDefault="00324437" w:rsidP="002C3DD7">
      <w:pPr>
        <w:pStyle w:val="ListParagraph"/>
        <w:numPr>
          <w:ilvl w:val="0"/>
          <w:numId w:val="1"/>
        </w:num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xml:space="preserve">Whether the plaintiff is entitled to damages as prayed from the </w:t>
      </w:r>
      <w:r w:rsidRPr="002C3DD7">
        <w:rPr>
          <w:rFonts w:ascii="Times New Roman" w:hAnsi="Times New Roman" w:cs="Times New Roman"/>
          <w:sz w:val="24"/>
          <w:szCs w:val="24"/>
        </w:rPr>
        <w:t>Defendant or any of them</w:t>
      </w:r>
      <w:r w:rsidR="00EC7981" w:rsidRPr="002C3DD7">
        <w:rPr>
          <w:rStyle w:val="FootnoteReference"/>
          <w:rFonts w:ascii="Times New Roman" w:hAnsi="Times New Roman" w:cs="Times New Roman"/>
          <w:sz w:val="24"/>
          <w:szCs w:val="24"/>
        </w:rPr>
        <w:footnoteReference w:id="1"/>
      </w:r>
    </w:p>
    <w:p w:rsidR="003300B1" w:rsidRPr="002C3DD7" w:rsidRDefault="003300B1" w:rsidP="002C3DD7">
      <w:pPr>
        <w:spacing w:line="360" w:lineRule="auto"/>
        <w:jc w:val="both"/>
        <w:rPr>
          <w:rFonts w:ascii="Times New Roman" w:hAnsi="Times New Roman" w:cs="Times New Roman"/>
          <w:sz w:val="24"/>
          <w:szCs w:val="24"/>
        </w:rPr>
      </w:pPr>
    </w:p>
    <w:p w:rsidR="00F53254" w:rsidRPr="002C3DD7" w:rsidRDefault="00324437" w:rsidP="002C3DD7">
      <w:pPr>
        <w:pStyle w:val="ListParagraph"/>
        <w:spacing w:line="360" w:lineRule="auto"/>
        <w:jc w:val="both"/>
        <w:rPr>
          <w:rFonts w:ascii="Times New Roman" w:hAnsi="Times New Roman" w:cs="Times New Roman"/>
          <w:b/>
          <w:sz w:val="24"/>
          <w:szCs w:val="24"/>
        </w:rPr>
      </w:pPr>
      <w:r w:rsidRPr="002C3DD7">
        <w:rPr>
          <w:rFonts w:ascii="Times New Roman" w:hAnsi="Times New Roman" w:cs="Times New Roman"/>
          <w:b/>
          <w:sz w:val="24"/>
          <w:szCs w:val="24"/>
        </w:rPr>
        <w:t>ARGUMENTS</w:t>
      </w:r>
    </w:p>
    <w:p w:rsidR="00F53254" w:rsidRPr="002C3DD7" w:rsidRDefault="00EC7981" w:rsidP="002C3DD7">
      <w:pPr>
        <w:pStyle w:val="ListParagraph"/>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Plaintiff’s arguments</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On the first issue, plaintiff's position is that it has copyright rights on the said map. He went forward and he produced the original copy of the map during hearing. It was also confirmed that the</w:t>
      </w:r>
      <w:r w:rsidR="00EC7981" w:rsidRPr="002C3DD7">
        <w:rPr>
          <w:rFonts w:ascii="Times New Roman" w:hAnsi="Times New Roman" w:cs="Times New Roman"/>
          <w:sz w:val="24"/>
          <w:szCs w:val="24"/>
        </w:rPr>
        <w:t xml:space="preserve"> map </w:t>
      </w:r>
      <w:r w:rsidR="002C3DD7" w:rsidRPr="002C3DD7">
        <w:rPr>
          <w:rFonts w:ascii="Times New Roman" w:hAnsi="Times New Roman" w:cs="Times New Roman"/>
          <w:sz w:val="24"/>
          <w:szCs w:val="24"/>
        </w:rPr>
        <w:lastRenderedPageBreak/>
        <w:t>had the plaintiff’s</w:t>
      </w:r>
      <w:r w:rsidR="00EC7981" w:rsidRPr="002C3DD7">
        <w:rPr>
          <w:rFonts w:ascii="Times New Roman" w:hAnsi="Times New Roman" w:cs="Times New Roman"/>
          <w:sz w:val="24"/>
          <w:szCs w:val="24"/>
        </w:rPr>
        <w:t xml:space="preserve"> </w:t>
      </w:r>
      <w:r w:rsidR="002C3DD7" w:rsidRPr="002C3DD7">
        <w:rPr>
          <w:rFonts w:ascii="Times New Roman" w:hAnsi="Times New Roman" w:cs="Times New Roman"/>
          <w:sz w:val="24"/>
          <w:szCs w:val="24"/>
        </w:rPr>
        <w:t>credentials together</w:t>
      </w:r>
      <w:r w:rsidR="00EC7981" w:rsidRPr="002C3DD7">
        <w:rPr>
          <w:rFonts w:ascii="Times New Roman" w:hAnsi="Times New Roman" w:cs="Times New Roman"/>
          <w:sz w:val="24"/>
          <w:szCs w:val="24"/>
        </w:rPr>
        <w:t xml:space="preserve"> with </w:t>
      </w:r>
      <w:r w:rsidR="002C3DD7" w:rsidRPr="002C3DD7">
        <w:rPr>
          <w:rFonts w:ascii="Times New Roman" w:hAnsi="Times New Roman" w:cs="Times New Roman"/>
          <w:sz w:val="24"/>
          <w:szCs w:val="24"/>
        </w:rPr>
        <w:t>the</w:t>
      </w:r>
      <w:r w:rsidR="002C3DD7">
        <w:rPr>
          <w:rFonts w:ascii="Times New Roman" w:hAnsi="Times New Roman" w:cs="Times New Roman"/>
          <w:sz w:val="24"/>
          <w:szCs w:val="24"/>
        </w:rPr>
        <w:t xml:space="preserve"> serial </w:t>
      </w:r>
      <w:bookmarkStart w:id="0" w:name="_GoBack"/>
      <w:bookmarkEnd w:id="0"/>
      <w:r w:rsidR="00EC7981" w:rsidRPr="002C3DD7">
        <w:rPr>
          <w:rFonts w:ascii="Times New Roman" w:hAnsi="Times New Roman" w:cs="Times New Roman"/>
          <w:sz w:val="24"/>
          <w:szCs w:val="24"/>
        </w:rPr>
        <w:t>number, this was sufficient evidence that the said map was his</w:t>
      </w:r>
      <w:r w:rsidRPr="002C3DD7">
        <w:rPr>
          <w:rFonts w:ascii="Times New Roman" w:hAnsi="Times New Roman" w:cs="Times New Roman"/>
          <w:sz w:val="24"/>
          <w:szCs w:val="24"/>
        </w:rPr>
        <w:t xml:space="preserve">. </w:t>
      </w:r>
      <w:r w:rsidR="00EC7981" w:rsidRPr="002C3DD7">
        <w:rPr>
          <w:rFonts w:ascii="Times New Roman" w:hAnsi="Times New Roman" w:cs="Times New Roman"/>
          <w:sz w:val="24"/>
          <w:szCs w:val="24"/>
        </w:rPr>
        <w:t xml:space="preserve">He also </w:t>
      </w:r>
      <w:r w:rsidRPr="002C3DD7">
        <w:rPr>
          <w:rFonts w:ascii="Times New Roman" w:hAnsi="Times New Roman" w:cs="Times New Roman"/>
          <w:sz w:val="24"/>
          <w:szCs w:val="24"/>
        </w:rPr>
        <w:t>had demonstrated effort</w:t>
      </w:r>
      <w:r w:rsidR="00EC7981" w:rsidRPr="002C3DD7">
        <w:rPr>
          <w:rFonts w:ascii="Times New Roman" w:hAnsi="Times New Roman" w:cs="Times New Roman"/>
          <w:sz w:val="24"/>
          <w:szCs w:val="24"/>
        </w:rPr>
        <w:t>s</w:t>
      </w:r>
      <w:r w:rsidRPr="002C3DD7">
        <w:rPr>
          <w:rFonts w:ascii="Times New Roman" w:hAnsi="Times New Roman" w:cs="Times New Roman"/>
          <w:sz w:val="24"/>
          <w:szCs w:val="24"/>
        </w:rPr>
        <w:t xml:space="preserve"> and skill</w:t>
      </w:r>
      <w:r w:rsidR="00EC7981" w:rsidRPr="002C3DD7">
        <w:rPr>
          <w:rFonts w:ascii="Times New Roman" w:hAnsi="Times New Roman" w:cs="Times New Roman"/>
          <w:sz w:val="24"/>
          <w:szCs w:val="24"/>
        </w:rPr>
        <w:t>s</w:t>
      </w:r>
      <w:r w:rsidRPr="002C3DD7">
        <w:rPr>
          <w:rFonts w:ascii="Times New Roman" w:hAnsi="Times New Roman" w:cs="Times New Roman"/>
          <w:sz w:val="24"/>
          <w:szCs w:val="24"/>
        </w:rPr>
        <w:t xml:space="preserve"> he had put into a map and also a sign of authorship. A map is copyright unless resulted.</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1st Defendant’s Response</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Denied the map being the</w:t>
      </w:r>
      <w:r w:rsidRPr="002C3DD7">
        <w:rPr>
          <w:rFonts w:ascii="Times New Roman" w:hAnsi="Times New Roman" w:cs="Times New Roman"/>
          <w:sz w:val="24"/>
          <w:szCs w:val="24"/>
        </w:rPr>
        <w:t xml:space="preserve"> plaintiff’s by failure to provide evidence to result a same. He also cited sec 22 of copyright which lays out what work, which one ought to be copyright and which form they ought audio visual &amp; broadcast and objectivity -- whether steps taken, a map to be</w:t>
      </w:r>
      <w:r w:rsidRPr="002C3DD7">
        <w:rPr>
          <w:rFonts w:ascii="Times New Roman" w:hAnsi="Times New Roman" w:cs="Times New Roman"/>
          <w:sz w:val="24"/>
          <w:szCs w:val="24"/>
        </w:rPr>
        <w:t xml:space="preserve"> artistic were quality copying.</w:t>
      </w:r>
      <w:r w:rsidRPr="002C3DD7">
        <w:rPr>
          <w:rStyle w:val="FootnoteReference"/>
          <w:rFonts w:ascii="Times New Roman" w:hAnsi="Times New Roman" w:cs="Times New Roman"/>
          <w:sz w:val="24"/>
          <w:szCs w:val="24"/>
        </w:rPr>
        <w:footnoteReference w:id="2"/>
      </w:r>
    </w:p>
    <w:p w:rsidR="00F53254" w:rsidRPr="002C3DD7" w:rsidRDefault="003300B1"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3</w:t>
      </w:r>
      <w:r w:rsidRPr="002C3DD7">
        <w:rPr>
          <w:rFonts w:ascii="Times New Roman" w:hAnsi="Times New Roman" w:cs="Times New Roman"/>
          <w:sz w:val="24"/>
          <w:szCs w:val="24"/>
          <w:vertAlign w:val="superscript"/>
        </w:rPr>
        <w:t>rd</w:t>
      </w:r>
      <w:r w:rsidRPr="002C3DD7">
        <w:rPr>
          <w:rFonts w:ascii="Times New Roman" w:hAnsi="Times New Roman" w:cs="Times New Roman"/>
          <w:sz w:val="24"/>
          <w:szCs w:val="24"/>
        </w:rPr>
        <w:t xml:space="preserve"> Defendants</w:t>
      </w:r>
      <w:r w:rsidR="00324437" w:rsidRPr="002C3DD7">
        <w:rPr>
          <w:rFonts w:ascii="Times New Roman" w:hAnsi="Times New Roman" w:cs="Times New Roman"/>
          <w:sz w:val="24"/>
          <w:szCs w:val="24"/>
        </w:rPr>
        <w:t xml:space="preserve"> Response </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xml:space="preserve">He provided that it had not infringed on the copyright rights of the plaintiff as the inclusion of the map in the advertisement was incidental to the primary message being </w:t>
      </w:r>
      <w:r w:rsidR="002C3DD7" w:rsidRPr="002C3DD7">
        <w:rPr>
          <w:rFonts w:ascii="Times New Roman" w:hAnsi="Times New Roman" w:cs="Times New Roman"/>
          <w:sz w:val="24"/>
          <w:szCs w:val="24"/>
        </w:rPr>
        <w:t>conveyed, also</w:t>
      </w:r>
      <w:r w:rsidRPr="002C3DD7">
        <w:rPr>
          <w:rFonts w:ascii="Times New Roman" w:hAnsi="Times New Roman" w:cs="Times New Roman"/>
          <w:sz w:val="24"/>
          <w:szCs w:val="24"/>
        </w:rPr>
        <w:t xml:space="preserve"> </w:t>
      </w:r>
      <w:r w:rsidR="002C3DD7" w:rsidRPr="002C3DD7">
        <w:rPr>
          <w:rFonts w:ascii="Times New Roman" w:hAnsi="Times New Roman" w:cs="Times New Roman"/>
          <w:sz w:val="24"/>
          <w:szCs w:val="24"/>
        </w:rPr>
        <w:t>contended</w:t>
      </w:r>
      <w:r w:rsidRPr="002C3DD7">
        <w:rPr>
          <w:rFonts w:ascii="Times New Roman" w:hAnsi="Times New Roman" w:cs="Times New Roman"/>
          <w:sz w:val="24"/>
          <w:szCs w:val="24"/>
        </w:rPr>
        <w:t xml:space="preserve"> </w:t>
      </w:r>
      <w:r w:rsidRPr="002C3DD7">
        <w:rPr>
          <w:rFonts w:ascii="Times New Roman" w:hAnsi="Times New Roman" w:cs="Times New Roman"/>
          <w:sz w:val="24"/>
          <w:szCs w:val="24"/>
        </w:rPr>
        <w:t>that the plaintiff had failed to show that the incidental inclusion was detrimental, He relied on section 26 of the copyright Act which states that copyright Act in any work does not include the right to control the incidental inclusion of artistic work in</w:t>
      </w:r>
      <w:r w:rsidRPr="002C3DD7">
        <w:rPr>
          <w:rFonts w:ascii="Times New Roman" w:hAnsi="Times New Roman" w:cs="Times New Roman"/>
          <w:sz w:val="24"/>
          <w:szCs w:val="24"/>
        </w:rPr>
        <w:t xml:space="preserve"> film or broadcast</w:t>
      </w:r>
      <w:r w:rsidR="00610BF8" w:rsidRPr="002C3DD7">
        <w:rPr>
          <w:rStyle w:val="FootnoteReference"/>
          <w:rFonts w:ascii="Times New Roman" w:hAnsi="Times New Roman" w:cs="Times New Roman"/>
          <w:sz w:val="24"/>
          <w:szCs w:val="24"/>
        </w:rPr>
        <w:footnoteReference w:id="3"/>
      </w:r>
      <w:r w:rsidR="00610BF8" w:rsidRPr="002C3DD7">
        <w:rPr>
          <w:rFonts w:ascii="Times New Roman" w:hAnsi="Times New Roman" w:cs="Times New Roman"/>
          <w:sz w:val="24"/>
          <w:szCs w:val="24"/>
        </w:rPr>
        <w:t>.</w:t>
      </w:r>
      <w:r w:rsidRPr="002C3DD7">
        <w:rPr>
          <w:rFonts w:ascii="Times New Roman" w:hAnsi="Times New Roman" w:cs="Times New Roman"/>
          <w:sz w:val="24"/>
          <w:szCs w:val="24"/>
        </w:rPr>
        <w:t xml:space="preserve"> This was supported by both the 1st and 2 ND defendant, He also relied on the case of IPC Magazines limited vs MGN limited (1998) F.SR 431 in which the UK High court held that in determining the meaning of the phrase incidental inclusion </w:t>
      </w:r>
      <w:r w:rsidRPr="002C3DD7">
        <w:rPr>
          <w:rFonts w:ascii="Times New Roman" w:hAnsi="Times New Roman" w:cs="Times New Roman"/>
          <w:sz w:val="24"/>
          <w:szCs w:val="24"/>
        </w:rPr>
        <w:t>the question to be answered was the inclusion of the work incidental in the sense of casual, inessential or merely background.</w:t>
      </w:r>
      <w:r w:rsidRPr="002C3DD7">
        <w:rPr>
          <w:rStyle w:val="FootnoteReference"/>
          <w:rFonts w:ascii="Times New Roman" w:hAnsi="Times New Roman" w:cs="Times New Roman"/>
          <w:sz w:val="24"/>
          <w:szCs w:val="24"/>
        </w:rPr>
        <w:footnoteReference w:id="4"/>
      </w:r>
    </w:p>
    <w:p w:rsidR="003300B1" w:rsidRPr="002C3DD7" w:rsidRDefault="003300B1" w:rsidP="002C3DD7">
      <w:pPr>
        <w:spacing w:line="360" w:lineRule="auto"/>
        <w:jc w:val="both"/>
        <w:rPr>
          <w:rFonts w:ascii="Times New Roman" w:hAnsi="Times New Roman" w:cs="Times New Roman"/>
          <w:sz w:val="24"/>
          <w:szCs w:val="24"/>
        </w:rPr>
      </w:pPr>
    </w:p>
    <w:p w:rsidR="00F53254" w:rsidRPr="002C3DD7" w:rsidRDefault="00324437" w:rsidP="002C3DD7">
      <w:pPr>
        <w:pStyle w:val="ListParagraph"/>
        <w:spacing w:line="360" w:lineRule="auto"/>
        <w:jc w:val="both"/>
        <w:rPr>
          <w:rFonts w:ascii="Times New Roman" w:hAnsi="Times New Roman" w:cs="Times New Roman"/>
          <w:b/>
          <w:sz w:val="24"/>
          <w:szCs w:val="24"/>
        </w:rPr>
      </w:pPr>
      <w:r w:rsidRPr="002C3DD7">
        <w:rPr>
          <w:rFonts w:ascii="Times New Roman" w:hAnsi="Times New Roman" w:cs="Times New Roman"/>
          <w:b/>
          <w:sz w:val="24"/>
          <w:szCs w:val="24"/>
        </w:rPr>
        <w:t xml:space="preserve">JUDGEMENT </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xml:space="preserve"> The plaintiff suit was dismissed with cost to the defendant.</w:t>
      </w:r>
    </w:p>
    <w:p w:rsidR="00F53254" w:rsidRDefault="00F53254" w:rsidP="002C3DD7">
      <w:pPr>
        <w:pStyle w:val="ListParagraph"/>
        <w:spacing w:line="360" w:lineRule="auto"/>
        <w:jc w:val="both"/>
        <w:rPr>
          <w:rFonts w:ascii="Times New Roman" w:hAnsi="Times New Roman" w:cs="Times New Roman"/>
          <w:sz w:val="24"/>
          <w:szCs w:val="24"/>
        </w:rPr>
      </w:pPr>
    </w:p>
    <w:p w:rsidR="002C3DD7" w:rsidRPr="002C3DD7" w:rsidRDefault="002C3DD7" w:rsidP="002C3DD7">
      <w:pPr>
        <w:pStyle w:val="ListParagraph"/>
        <w:spacing w:line="360" w:lineRule="auto"/>
        <w:jc w:val="both"/>
        <w:rPr>
          <w:rFonts w:ascii="Times New Roman" w:hAnsi="Times New Roman" w:cs="Times New Roman"/>
          <w:sz w:val="24"/>
          <w:szCs w:val="24"/>
        </w:rPr>
      </w:pPr>
    </w:p>
    <w:p w:rsidR="00317257" w:rsidRPr="00317257" w:rsidRDefault="00317257" w:rsidP="002C3DD7">
      <w:pPr>
        <w:spacing w:before="100" w:beforeAutospacing="1" w:after="100" w:afterAutospacing="1" w:line="360" w:lineRule="auto"/>
        <w:jc w:val="both"/>
        <w:outlineLvl w:val="2"/>
        <w:rPr>
          <w:rFonts w:ascii="Times New Roman" w:eastAsia="Times New Roman" w:hAnsi="Times New Roman" w:cs="Times New Roman"/>
          <w:b/>
          <w:bCs/>
          <w:sz w:val="24"/>
          <w:szCs w:val="24"/>
        </w:rPr>
      </w:pPr>
      <w:r w:rsidRPr="00317257">
        <w:rPr>
          <w:rFonts w:ascii="Times New Roman" w:eastAsia="Times New Roman" w:hAnsi="Times New Roman" w:cs="Times New Roman"/>
          <w:b/>
          <w:bCs/>
          <w:sz w:val="24"/>
          <w:szCs w:val="24"/>
        </w:rPr>
        <w:lastRenderedPageBreak/>
        <w:t>. RATIO DECIDENDI (Reasoning of the Court)</w:t>
      </w:r>
    </w:p>
    <w:p w:rsidR="00317257" w:rsidRPr="00317257" w:rsidRDefault="00317257" w:rsidP="002C3DD7">
      <w:pPr>
        <w:spacing w:before="100" w:beforeAutospacing="1" w:after="100" w:afterAutospacing="1" w:line="360" w:lineRule="auto"/>
        <w:jc w:val="both"/>
        <w:rPr>
          <w:rFonts w:ascii="Times New Roman" w:eastAsia="Times New Roman" w:hAnsi="Times New Roman" w:cs="Times New Roman"/>
          <w:sz w:val="24"/>
          <w:szCs w:val="24"/>
        </w:rPr>
      </w:pPr>
      <w:r w:rsidRPr="00317257">
        <w:rPr>
          <w:rFonts w:ascii="Times New Roman" w:eastAsia="Times New Roman" w:hAnsi="Times New Roman" w:cs="Times New Roman"/>
          <w:sz w:val="24"/>
          <w:szCs w:val="24"/>
        </w:rPr>
        <w:t>The decision was arrived at through the following sequential legal reasoning:</w:t>
      </w:r>
    </w:p>
    <w:p w:rsidR="00317257" w:rsidRPr="00317257" w:rsidRDefault="00610BF8" w:rsidP="002C3DD7">
      <w:pPr>
        <w:spacing w:before="100" w:beforeAutospacing="1" w:after="100" w:afterAutospacing="1" w:line="360" w:lineRule="auto"/>
        <w:jc w:val="both"/>
        <w:rPr>
          <w:rFonts w:ascii="Times New Roman" w:eastAsia="Times New Roman" w:hAnsi="Times New Roman" w:cs="Times New Roman"/>
          <w:sz w:val="24"/>
          <w:szCs w:val="24"/>
        </w:rPr>
      </w:pPr>
      <w:r w:rsidRPr="002C3DD7">
        <w:rPr>
          <w:rFonts w:ascii="Times New Roman" w:eastAsia="Times New Roman" w:hAnsi="Times New Roman" w:cs="Times New Roman"/>
          <w:bCs/>
          <w:sz w:val="24"/>
          <w:szCs w:val="24"/>
        </w:rPr>
        <w:t xml:space="preserve">a) </w:t>
      </w:r>
      <w:r w:rsidR="00317257" w:rsidRPr="00317257">
        <w:rPr>
          <w:rFonts w:ascii="Times New Roman" w:eastAsia="Times New Roman" w:hAnsi="Times New Roman" w:cs="Times New Roman"/>
          <w:bCs/>
          <w:sz w:val="24"/>
          <w:szCs w:val="24"/>
        </w:rPr>
        <w:t xml:space="preserve"> Validation of Copyright (Issue 1)</w:t>
      </w:r>
      <w:r w:rsidR="00317257" w:rsidRPr="00317257">
        <w:rPr>
          <w:rFonts w:ascii="Times New Roman" w:eastAsia="Times New Roman" w:hAnsi="Times New Roman" w:cs="Times New Roman"/>
          <w:sz w:val="24"/>
          <w:szCs w:val="24"/>
        </w:rPr>
        <w:t xml:space="preserve"> The Court first addressed whether the map was copyrightable. Justice Tuiyott affirmed that a map falls under the definition of "artistic work." The Plaintiff successfully demonstrated that sufficient effort and skill were used to create the "Kenya Administrative Map." Therefore, the work was protected under the Copyright Act, and the Plaintiff had the </w:t>
      </w:r>
      <w:r w:rsidR="00317257" w:rsidRPr="00317257">
        <w:rPr>
          <w:rFonts w:ascii="Times New Roman" w:eastAsia="Times New Roman" w:hAnsi="Times New Roman" w:cs="Times New Roman"/>
          <w:i/>
          <w:iCs/>
          <w:sz w:val="24"/>
          <w:szCs w:val="24"/>
        </w:rPr>
        <w:t>locus standi</w:t>
      </w:r>
      <w:r w:rsidR="00317257" w:rsidRPr="00317257">
        <w:rPr>
          <w:rFonts w:ascii="Times New Roman" w:eastAsia="Times New Roman" w:hAnsi="Times New Roman" w:cs="Times New Roman"/>
          <w:sz w:val="24"/>
          <w:szCs w:val="24"/>
        </w:rPr>
        <w:t xml:space="preserve"> to sue.</w:t>
      </w:r>
    </w:p>
    <w:p w:rsidR="00317257" w:rsidRPr="00317257" w:rsidRDefault="00610BF8" w:rsidP="002C3DD7">
      <w:pPr>
        <w:spacing w:before="100" w:beforeAutospacing="1" w:after="100" w:afterAutospacing="1" w:line="360" w:lineRule="auto"/>
        <w:jc w:val="both"/>
        <w:rPr>
          <w:rFonts w:ascii="Times New Roman" w:eastAsia="Times New Roman" w:hAnsi="Times New Roman" w:cs="Times New Roman"/>
          <w:sz w:val="24"/>
          <w:szCs w:val="24"/>
        </w:rPr>
      </w:pPr>
      <w:r w:rsidRPr="002C3DD7">
        <w:rPr>
          <w:rFonts w:ascii="Times New Roman" w:eastAsia="Times New Roman" w:hAnsi="Times New Roman" w:cs="Times New Roman"/>
          <w:bCs/>
          <w:sz w:val="24"/>
          <w:szCs w:val="24"/>
        </w:rPr>
        <w:t xml:space="preserve">b) </w:t>
      </w:r>
      <w:r w:rsidR="00317257" w:rsidRPr="00317257">
        <w:rPr>
          <w:rFonts w:ascii="Times New Roman" w:eastAsia="Times New Roman" w:hAnsi="Times New Roman" w:cs="Times New Roman"/>
          <w:bCs/>
          <w:sz w:val="24"/>
          <w:szCs w:val="24"/>
        </w:rPr>
        <w:t xml:space="preserve"> </w:t>
      </w:r>
      <w:r w:rsidR="002C3DD7" w:rsidRPr="002C3DD7">
        <w:rPr>
          <w:rFonts w:ascii="Times New Roman" w:eastAsia="Times New Roman" w:hAnsi="Times New Roman" w:cs="Times New Roman"/>
          <w:bCs/>
          <w:sz w:val="24"/>
          <w:szCs w:val="24"/>
        </w:rPr>
        <w:t>The</w:t>
      </w:r>
      <w:r w:rsidR="00317257" w:rsidRPr="00317257">
        <w:rPr>
          <w:rFonts w:ascii="Times New Roman" w:eastAsia="Times New Roman" w:hAnsi="Times New Roman" w:cs="Times New Roman"/>
          <w:bCs/>
          <w:sz w:val="24"/>
          <w:szCs w:val="24"/>
        </w:rPr>
        <w:t xml:space="preserve"> Test for Infringement vs. Incidental Inclusion (Issue 2)</w:t>
      </w:r>
      <w:r w:rsidR="00317257" w:rsidRPr="00317257">
        <w:rPr>
          <w:rFonts w:ascii="Times New Roman" w:eastAsia="Times New Roman" w:hAnsi="Times New Roman" w:cs="Times New Roman"/>
          <w:sz w:val="24"/>
          <w:szCs w:val="24"/>
        </w:rPr>
        <w:t xml:space="preserve"> </w:t>
      </w:r>
      <w:r w:rsidR="003300B1" w:rsidRPr="002C3DD7">
        <w:rPr>
          <w:rFonts w:ascii="Times New Roman" w:eastAsia="Times New Roman" w:hAnsi="Times New Roman" w:cs="Times New Roman"/>
          <w:sz w:val="24"/>
          <w:szCs w:val="24"/>
        </w:rPr>
        <w:t>this</w:t>
      </w:r>
      <w:r w:rsidR="00317257" w:rsidRPr="00317257">
        <w:rPr>
          <w:rFonts w:ascii="Times New Roman" w:eastAsia="Times New Roman" w:hAnsi="Times New Roman" w:cs="Times New Roman"/>
          <w:sz w:val="24"/>
          <w:szCs w:val="24"/>
        </w:rPr>
        <w:t xml:space="preserve"> was the crux of the case. The Court had to interpret </w:t>
      </w:r>
      <w:r w:rsidR="00317257" w:rsidRPr="00317257">
        <w:rPr>
          <w:rFonts w:ascii="Times New Roman" w:eastAsia="Times New Roman" w:hAnsi="Times New Roman" w:cs="Times New Roman"/>
          <w:b/>
          <w:bCs/>
          <w:sz w:val="24"/>
          <w:szCs w:val="24"/>
        </w:rPr>
        <w:t>Section 26</w:t>
      </w:r>
      <w:r w:rsidR="00317257" w:rsidRPr="00317257">
        <w:rPr>
          <w:rFonts w:ascii="Times New Roman" w:eastAsia="Times New Roman" w:hAnsi="Times New Roman" w:cs="Times New Roman"/>
          <w:sz w:val="24"/>
          <w:szCs w:val="24"/>
        </w:rPr>
        <w:t xml:space="preserve"> of the Copyright Act, which states that copyright does not include the right to control "the incidental inclusion of an artistic work in a film or broadcast."</w:t>
      </w:r>
      <w:r w:rsidRPr="002C3DD7">
        <w:rPr>
          <w:rStyle w:val="FootnoteReference"/>
          <w:rFonts w:ascii="Times New Roman" w:eastAsia="Times New Roman" w:hAnsi="Times New Roman" w:cs="Times New Roman"/>
          <w:sz w:val="24"/>
          <w:szCs w:val="24"/>
        </w:rPr>
        <w:footnoteReference w:id="5"/>
      </w:r>
    </w:p>
    <w:p w:rsidR="00317257" w:rsidRPr="00317257" w:rsidRDefault="00317257" w:rsidP="002C3DD7">
      <w:pPr>
        <w:spacing w:before="100" w:beforeAutospacing="1" w:after="100" w:afterAutospacing="1" w:line="360" w:lineRule="auto"/>
        <w:jc w:val="both"/>
        <w:rPr>
          <w:rFonts w:ascii="Times New Roman" w:eastAsia="Times New Roman" w:hAnsi="Times New Roman" w:cs="Times New Roman"/>
          <w:sz w:val="24"/>
          <w:szCs w:val="24"/>
        </w:rPr>
      </w:pPr>
      <w:r w:rsidRPr="00317257">
        <w:rPr>
          <w:rFonts w:ascii="Times New Roman" w:eastAsia="Times New Roman" w:hAnsi="Times New Roman" w:cs="Times New Roman"/>
          <w:sz w:val="24"/>
          <w:szCs w:val="24"/>
        </w:rPr>
        <w:t xml:space="preserve">To interpret "incidental," the Court adopted the test from the English case </w:t>
      </w:r>
      <w:r w:rsidRPr="00317257">
        <w:rPr>
          <w:rFonts w:ascii="Times New Roman" w:eastAsia="Times New Roman" w:hAnsi="Times New Roman" w:cs="Times New Roman"/>
          <w:i/>
          <w:iCs/>
          <w:sz w:val="24"/>
          <w:szCs w:val="24"/>
        </w:rPr>
        <w:t>IPC Magazines Limited vs. MGN Limited</w:t>
      </w:r>
      <w:r w:rsidRPr="00317257">
        <w:rPr>
          <w:rFonts w:ascii="Times New Roman" w:eastAsia="Times New Roman" w:hAnsi="Times New Roman" w:cs="Times New Roman"/>
          <w:sz w:val="24"/>
          <w:szCs w:val="24"/>
        </w:rPr>
        <w:t xml:space="preserve">. The Judge posed the critical question: </w:t>
      </w:r>
      <w:r w:rsidRPr="00317257">
        <w:rPr>
          <w:rFonts w:ascii="Times New Roman" w:eastAsia="Times New Roman" w:hAnsi="Times New Roman" w:cs="Times New Roman"/>
          <w:bCs/>
          <w:sz w:val="24"/>
          <w:szCs w:val="24"/>
        </w:rPr>
        <w:t>Was the inclusion of the work casual, inessential, or merely background?</w:t>
      </w:r>
    </w:p>
    <w:p w:rsidR="00317257" w:rsidRPr="00317257" w:rsidRDefault="00317257" w:rsidP="002C3DD7">
      <w:pPr>
        <w:numPr>
          <w:ilvl w:val="0"/>
          <w:numId w:val="2"/>
        </w:numPr>
        <w:spacing w:before="100" w:beforeAutospacing="1" w:after="100" w:afterAutospacing="1" w:line="360" w:lineRule="auto"/>
        <w:jc w:val="both"/>
        <w:rPr>
          <w:rFonts w:ascii="Times New Roman" w:eastAsia="Times New Roman" w:hAnsi="Times New Roman" w:cs="Times New Roman"/>
          <w:sz w:val="24"/>
          <w:szCs w:val="24"/>
        </w:rPr>
      </w:pPr>
      <w:r w:rsidRPr="00317257">
        <w:rPr>
          <w:rFonts w:ascii="Times New Roman" w:eastAsia="Times New Roman" w:hAnsi="Times New Roman" w:cs="Times New Roman"/>
          <w:bCs/>
          <w:sz w:val="24"/>
          <w:szCs w:val="24"/>
        </w:rPr>
        <w:t>Subordinate Nature:</w:t>
      </w:r>
      <w:r w:rsidRPr="00317257">
        <w:rPr>
          <w:rFonts w:ascii="Times New Roman" w:eastAsia="Times New Roman" w:hAnsi="Times New Roman" w:cs="Times New Roman"/>
          <w:sz w:val="24"/>
          <w:szCs w:val="24"/>
        </w:rPr>
        <w:t xml:space="preserve"> The Court observed the advertisement and noted that the map appeared in the background. It was not the focal point of the camera, nor was it the subject of the dialogue in the commercial.</w:t>
      </w:r>
    </w:p>
    <w:p w:rsidR="00317257" w:rsidRPr="00317257" w:rsidRDefault="00317257" w:rsidP="002C3DD7">
      <w:pPr>
        <w:numPr>
          <w:ilvl w:val="0"/>
          <w:numId w:val="2"/>
        </w:numPr>
        <w:spacing w:before="100" w:beforeAutospacing="1" w:after="100" w:afterAutospacing="1" w:line="360" w:lineRule="auto"/>
        <w:jc w:val="both"/>
        <w:rPr>
          <w:rFonts w:ascii="Times New Roman" w:eastAsia="Times New Roman" w:hAnsi="Times New Roman" w:cs="Times New Roman"/>
          <w:sz w:val="24"/>
          <w:szCs w:val="24"/>
        </w:rPr>
      </w:pPr>
      <w:r w:rsidRPr="00317257">
        <w:rPr>
          <w:rFonts w:ascii="Times New Roman" w:eastAsia="Times New Roman" w:hAnsi="Times New Roman" w:cs="Times New Roman"/>
          <w:bCs/>
          <w:sz w:val="24"/>
          <w:szCs w:val="24"/>
        </w:rPr>
        <w:t>Context of Use:</w:t>
      </w:r>
      <w:r w:rsidRPr="00317257">
        <w:rPr>
          <w:rFonts w:ascii="Times New Roman" w:eastAsia="Times New Roman" w:hAnsi="Times New Roman" w:cs="Times New Roman"/>
          <w:sz w:val="24"/>
          <w:szCs w:val="24"/>
        </w:rPr>
        <w:t xml:space="preserve"> The map was used to create a setting (an office or administrative environment). The viewer's attention was directed toward the actors and the commercial message (the text overlay and voiceover), not the geographic data on the map.</w:t>
      </w:r>
    </w:p>
    <w:p w:rsidR="00317257" w:rsidRPr="00317257" w:rsidRDefault="00317257" w:rsidP="002C3DD7">
      <w:pPr>
        <w:numPr>
          <w:ilvl w:val="0"/>
          <w:numId w:val="2"/>
        </w:numPr>
        <w:spacing w:before="100" w:beforeAutospacing="1" w:after="100" w:afterAutospacing="1" w:line="360" w:lineRule="auto"/>
        <w:jc w:val="both"/>
        <w:rPr>
          <w:rFonts w:ascii="Times New Roman" w:eastAsia="Times New Roman" w:hAnsi="Times New Roman" w:cs="Times New Roman"/>
          <w:sz w:val="24"/>
          <w:szCs w:val="24"/>
        </w:rPr>
      </w:pPr>
      <w:r w:rsidRPr="00317257">
        <w:rPr>
          <w:rFonts w:ascii="Times New Roman" w:eastAsia="Times New Roman" w:hAnsi="Times New Roman" w:cs="Times New Roman"/>
          <w:bCs/>
          <w:sz w:val="24"/>
          <w:szCs w:val="24"/>
        </w:rPr>
        <w:t>Quantitative vs. Qualitative Assessment:</w:t>
      </w:r>
      <w:r w:rsidRPr="00317257">
        <w:rPr>
          <w:rFonts w:ascii="Times New Roman" w:eastAsia="Times New Roman" w:hAnsi="Times New Roman" w:cs="Times New Roman"/>
          <w:sz w:val="24"/>
          <w:szCs w:val="24"/>
        </w:rPr>
        <w:t xml:space="preserve"> The Judge reasoned that for infringement to occur in this context, the work must be a "substantial part" of the new creation. In this case, the map was visually "subordinate" to the main broadcast.</w:t>
      </w:r>
    </w:p>
    <w:p w:rsidR="00317257" w:rsidRPr="00317257" w:rsidRDefault="00317257" w:rsidP="002C3DD7">
      <w:pPr>
        <w:spacing w:before="100" w:beforeAutospacing="1" w:after="100" w:afterAutospacing="1" w:line="360" w:lineRule="auto"/>
        <w:jc w:val="both"/>
        <w:rPr>
          <w:rFonts w:ascii="Times New Roman" w:eastAsia="Times New Roman" w:hAnsi="Times New Roman" w:cs="Times New Roman"/>
          <w:sz w:val="24"/>
          <w:szCs w:val="24"/>
        </w:rPr>
      </w:pPr>
      <w:r w:rsidRPr="00317257">
        <w:rPr>
          <w:rFonts w:ascii="Times New Roman" w:eastAsia="Times New Roman" w:hAnsi="Times New Roman" w:cs="Times New Roman"/>
          <w:bCs/>
          <w:sz w:val="24"/>
          <w:szCs w:val="24"/>
        </w:rPr>
        <w:t>C. Conclusion on Liability</w:t>
      </w:r>
      <w:r w:rsidRPr="00317257">
        <w:rPr>
          <w:rFonts w:ascii="Times New Roman" w:eastAsia="Times New Roman" w:hAnsi="Times New Roman" w:cs="Times New Roman"/>
          <w:sz w:val="24"/>
          <w:szCs w:val="24"/>
        </w:rPr>
        <w:t xml:space="preserve"> </w:t>
      </w:r>
      <w:r w:rsidR="003300B1" w:rsidRPr="002C3DD7">
        <w:rPr>
          <w:rFonts w:ascii="Times New Roman" w:eastAsia="Times New Roman" w:hAnsi="Times New Roman" w:cs="Times New Roman"/>
          <w:sz w:val="24"/>
          <w:szCs w:val="24"/>
        </w:rPr>
        <w:t>the</w:t>
      </w:r>
      <w:r w:rsidRPr="00317257">
        <w:rPr>
          <w:rFonts w:ascii="Times New Roman" w:eastAsia="Times New Roman" w:hAnsi="Times New Roman" w:cs="Times New Roman"/>
          <w:sz w:val="24"/>
          <w:szCs w:val="24"/>
        </w:rPr>
        <w:t xml:space="preserve"> Court concluded that because the use was "incidental," it fell within the statutory exceptions. The Defendants did not require a license to use a background object that </w:t>
      </w:r>
      <w:r w:rsidRPr="00317257">
        <w:rPr>
          <w:rFonts w:ascii="Times New Roman" w:eastAsia="Times New Roman" w:hAnsi="Times New Roman" w:cs="Times New Roman"/>
          <w:sz w:val="24"/>
          <w:szCs w:val="24"/>
        </w:rPr>
        <w:lastRenderedPageBreak/>
        <w:t>was not the focus of the film. Consequently, since there was no infringement, the question of damages (Issue 3) was moot.</w:t>
      </w:r>
    </w:p>
    <w:p w:rsidR="00317257" w:rsidRPr="002C3DD7" w:rsidRDefault="00317257" w:rsidP="002C3DD7">
      <w:pPr>
        <w:pStyle w:val="ListParagraph"/>
        <w:spacing w:line="360" w:lineRule="auto"/>
        <w:jc w:val="both"/>
        <w:rPr>
          <w:rFonts w:ascii="Times New Roman" w:hAnsi="Times New Roman" w:cs="Times New Roman"/>
          <w:b/>
          <w:sz w:val="24"/>
          <w:szCs w:val="24"/>
        </w:rPr>
      </w:pPr>
    </w:p>
    <w:p w:rsidR="00317257" w:rsidRPr="00317257" w:rsidRDefault="00317257" w:rsidP="002C3DD7">
      <w:pPr>
        <w:spacing w:before="100" w:beforeAutospacing="1" w:after="0" w:line="360" w:lineRule="auto"/>
        <w:jc w:val="both"/>
        <w:outlineLvl w:val="2"/>
        <w:rPr>
          <w:rFonts w:ascii="Times New Roman" w:eastAsia="Times New Roman" w:hAnsi="Times New Roman" w:cs="Times New Roman"/>
          <w:b/>
          <w:bCs/>
          <w:color w:val="1F1F1F"/>
          <w:sz w:val="24"/>
          <w:szCs w:val="24"/>
        </w:rPr>
      </w:pPr>
      <w:r w:rsidRPr="00317257">
        <w:rPr>
          <w:rFonts w:ascii="Times New Roman" w:eastAsia="Times New Roman" w:hAnsi="Times New Roman" w:cs="Times New Roman"/>
          <w:b/>
          <w:bCs/>
          <w:color w:val="1F1F1F"/>
          <w:sz w:val="24"/>
          <w:szCs w:val="24"/>
          <w:bdr w:val="none" w:sz="0" w:space="0" w:color="auto" w:frame="1"/>
        </w:rPr>
        <w:t>OBITER DICTA</w:t>
      </w:r>
    </w:p>
    <w:p w:rsidR="00317257" w:rsidRPr="00317257" w:rsidRDefault="00317257" w:rsidP="002C3DD7">
      <w:pPr>
        <w:spacing w:before="100" w:beforeAutospacing="1" w:after="120" w:line="360" w:lineRule="auto"/>
        <w:jc w:val="both"/>
        <w:rPr>
          <w:rFonts w:ascii="Times New Roman" w:eastAsia="Times New Roman" w:hAnsi="Times New Roman" w:cs="Times New Roman"/>
          <w:color w:val="1F1F1F"/>
          <w:sz w:val="24"/>
          <w:szCs w:val="24"/>
        </w:rPr>
      </w:pPr>
      <w:r w:rsidRPr="00317257">
        <w:rPr>
          <w:rFonts w:ascii="Times New Roman" w:eastAsia="Times New Roman" w:hAnsi="Times New Roman" w:cs="Times New Roman"/>
          <w:color w:val="1F1F1F"/>
          <w:sz w:val="24"/>
          <w:szCs w:val="24"/>
        </w:rPr>
        <w:t>In examining the nuances of the case, the Court offered several persuasive observations that, while not central to the final dismissal, clarify the boundaries of Intellectual Property law in Kenya:</w:t>
      </w:r>
    </w:p>
    <w:p w:rsidR="00317257" w:rsidRPr="00317257" w:rsidRDefault="00317257" w:rsidP="002C3DD7">
      <w:pPr>
        <w:spacing w:before="100" w:beforeAutospacing="1" w:after="0" w:line="360" w:lineRule="auto"/>
        <w:jc w:val="both"/>
        <w:rPr>
          <w:rFonts w:ascii="Times New Roman" w:eastAsia="Times New Roman" w:hAnsi="Times New Roman" w:cs="Times New Roman"/>
          <w:color w:val="1F1F1F"/>
          <w:sz w:val="24"/>
          <w:szCs w:val="24"/>
        </w:rPr>
      </w:pPr>
      <w:r w:rsidRPr="00317257">
        <w:rPr>
          <w:rFonts w:ascii="Times New Roman" w:eastAsia="Times New Roman" w:hAnsi="Times New Roman" w:cs="Times New Roman"/>
          <w:bCs/>
          <w:color w:val="1F1F1F"/>
          <w:sz w:val="24"/>
          <w:szCs w:val="24"/>
          <w:bdr w:val="none" w:sz="0" w:space="0" w:color="auto" w:frame="1"/>
        </w:rPr>
        <w:t>The "Why" Matters (Intention):</w:t>
      </w:r>
      <w:r w:rsidRPr="00317257">
        <w:rPr>
          <w:rFonts w:ascii="Times New Roman" w:eastAsia="Times New Roman" w:hAnsi="Times New Roman" w:cs="Times New Roman"/>
          <w:color w:val="1F1F1F"/>
          <w:sz w:val="24"/>
          <w:szCs w:val="24"/>
        </w:rPr>
        <w:t xml:space="preserve"> The Court cited Lord Denning in the English case </w:t>
      </w:r>
      <w:r w:rsidRPr="00317257">
        <w:rPr>
          <w:rFonts w:ascii="Times New Roman" w:eastAsia="Times New Roman" w:hAnsi="Times New Roman" w:cs="Times New Roman"/>
          <w:i/>
          <w:iCs/>
          <w:color w:val="1F1F1F"/>
          <w:sz w:val="24"/>
          <w:szCs w:val="24"/>
          <w:bdr w:val="none" w:sz="0" w:space="0" w:color="auto" w:frame="1"/>
        </w:rPr>
        <w:t>League Laminat vs. Donnin UK Limited</w:t>
      </w:r>
      <w:r w:rsidRPr="00317257">
        <w:rPr>
          <w:rFonts w:ascii="Times New Roman" w:eastAsia="Times New Roman" w:hAnsi="Times New Roman" w:cs="Times New Roman"/>
          <w:color w:val="1F1F1F"/>
          <w:sz w:val="24"/>
          <w:szCs w:val="24"/>
        </w:rPr>
        <w:t xml:space="preserve">, noting that "the relevance of what is included is dependent on background." This observation suggests that courts will look at the </w:t>
      </w:r>
      <w:r w:rsidRPr="00317257">
        <w:rPr>
          <w:rFonts w:ascii="Times New Roman" w:eastAsia="Times New Roman" w:hAnsi="Times New Roman" w:cs="Times New Roman"/>
          <w:i/>
          <w:iCs/>
          <w:color w:val="1F1F1F"/>
          <w:sz w:val="24"/>
          <w:szCs w:val="24"/>
          <w:bdr w:val="none" w:sz="0" w:space="0" w:color="auto" w:frame="1"/>
        </w:rPr>
        <w:t>intention</w:t>
      </w:r>
      <w:r w:rsidRPr="00317257">
        <w:rPr>
          <w:rFonts w:ascii="Times New Roman" w:eastAsia="Times New Roman" w:hAnsi="Times New Roman" w:cs="Times New Roman"/>
          <w:color w:val="1F1F1F"/>
          <w:sz w:val="24"/>
          <w:szCs w:val="24"/>
        </w:rPr>
        <w:t xml:space="preserve"> of the filmmaker. If the filmmaker had intended to feature the map to specifically convey geographic information or make it a central visual element, it might have constituted infringement. However, since it was effectively used as "wall decor," it remained incidental</w:t>
      </w:r>
      <w:r w:rsidR="00610BF8" w:rsidRPr="002C3DD7">
        <w:rPr>
          <w:rStyle w:val="FootnoteReference"/>
          <w:rFonts w:ascii="Times New Roman" w:eastAsia="Times New Roman" w:hAnsi="Times New Roman" w:cs="Times New Roman"/>
          <w:color w:val="1F1F1F"/>
          <w:sz w:val="24"/>
          <w:szCs w:val="24"/>
        </w:rPr>
        <w:footnoteReference w:id="6"/>
      </w:r>
      <w:r w:rsidRPr="00317257">
        <w:rPr>
          <w:rFonts w:ascii="Times New Roman" w:eastAsia="Times New Roman" w:hAnsi="Times New Roman" w:cs="Times New Roman"/>
          <w:color w:val="1F1F1F"/>
          <w:sz w:val="24"/>
          <w:szCs w:val="24"/>
        </w:rPr>
        <w:t>.</w:t>
      </w:r>
    </w:p>
    <w:p w:rsidR="00317257" w:rsidRPr="002C3DD7" w:rsidRDefault="00317257" w:rsidP="002C3DD7">
      <w:pPr>
        <w:spacing w:before="100" w:beforeAutospacing="1" w:after="0" w:line="360" w:lineRule="auto"/>
        <w:jc w:val="both"/>
        <w:rPr>
          <w:rFonts w:ascii="Times New Roman" w:eastAsia="Times New Roman" w:hAnsi="Times New Roman" w:cs="Times New Roman"/>
          <w:color w:val="1F1F1F"/>
          <w:sz w:val="24"/>
          <w:szCs w:val="24"/>
        </w:rPr>
      </w:pPr>
      <w:r w:rsidRPr="00317257">
        <w:rPr>
          <w:rFonts w:ascii="Times New Roman" w:eastAsia="Times New Roman" w:hAnsi="Times New Roman" w:cs="Times New Roman"/>
          <w:bCs/>
          <w:color w:val="1F1F1F"/>
          <w:sz w:val="24"/>
          <w:szCs w:val="24"/>
          <w:bdr w:val="none" w:sz="0" w:space="0" w:color="auto" w:frame="1"/>
        </w:rPr>
        <w:t>Burden of Proof regarding Materiality:</w:t>
      </w:r>
      <w:r w:rsidRPr="00317257">
        <w:rPr>
          <w:rFonts w:ascii="Times New Roman" w:eastAsia="Times New Roman" w:hAnsi="Times New Roman" w:cs="Times New Roman"/>
          <w:color w:val="1F1F1F"/>
          <w:sz w:val="24"/>
          <w:szCs w:val="24"/>
        </w:rPr>
        <w:t xml:space="preserve"> The Judge noted that the burden lies with the Plaintiff not just to show the work was present in the defendant's product, but to show it was a </w:t>
      </w:r>
      <w:r w:rsidRPr="00317257">
        <w:rPr>
          <w:rFonts w:ascii="Times New Roman" w:eastAsia="Times New Roman" w:hAnsi="Times New Roman" w:cs="Times New Roman"/>
          <w:i/>
          <w:iCs/>
          <w:color w:val="1F1F1F"/>
          <w:sz w:val="24"/>
          <w:szCs w:val="24"/>
          <w:bdr w:val="none" w:sz="0" w:space="0" w:color="auto" w:frame="1"/>
        </w:rPr>
        <w:t>material</w:t>
      </w:r>
      <w:r w:rsidRPr="00317257">
        <w:rPr>
          <w:rFonts w:ascii="Times New Roman" w:eastAsia="Times New Roman" w:hAnsi="Times New Roman" w:cs="Times New Roman"/>
          <w:color w:val="1F1F1F"/>
          <w:sz w:val="24"/>
          <w:szCs w:val="24"/>
        </w:rPr>
        <w:t xml:space="preserve"> part of that work. The Court observed that the Plaintiff's own admission—that the map was a "contestation" or backdrop—actually weakened their argument that it was the "main subject" of the advertisement.</w:t>
      </w:r>
    </w:p>
    <w:p w:rsidR="003300B1" w:rsidRPr="00317257" w:rsidRDefault="003300B1" w:rsidP="002C3DD7">
      <w:pPr>
        <w:spacing w:before="100" w:beforeAutospacing="1" w:after="0" w:line="360" w:lineRule="auto"/>
        <w:jc w:val="both"/>
        <w:rPr>
          <w:rFonts w:ascii="Times New Roman" w:eastAsia="Times New Roman" w:hAnsi="Times New Roman" w:cs="Times New Roman"/>
          <w:b/>
          <w:color w:val="1F1F1F"/>
          <w:sz w:val="24"/>
          <w:szCs w:val="24"/>
        </w:rPr>
      </w:pPr>
    </w:p>
    <w:p w:rsidR="00F53254" w:rsidRPr="002C3DD7" w:rsidRDefault="00324437" w:rsidP="002C3DD7">
      <w:pPr>
        <w:spacing w:line="360" w:lineRule="auto"/>
        <w:jc w:val="both"/>
        <w:rPr>
          <w:rFonts w:ascii="Times New Roman" w:hAnsi="Times New Roman" w:cs="Times New Roman"/>
          <w:b/>
          <w:sz w:val="24"/>
          <w:szCs w:val="24"/>
        </w:rPr>
      </w:pPr>
      <w:r w:rsidRPr="002C3DD7">
        <w:rPr>
          <w:rFonts w:ascii="Times New Roman" w:hAnsi="Times New Roman" w:cs="Times New Roman"/>
          <w:b/>
          <w:sz w:val="24"/>
          <w:szCs w:val="24"/>
        </w:rPr>
        <w:t>Significance of Nairobi Map Service vs Celtel Kenya</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xml:space="preserve">The court analyzed whether the plaintiff’s “Kenya Administrative Map” was actually </w:t>
      </w:r>
      <w:r w:rsidRPr="002C3DD7">
        <w:rPr>
          <w:rFonts w:ascii="Times New Roman" w:hAnsi="Times New Roman" w:cs="Times New Roman"/>
          <w:sz w:val="24"/>
          <w:szCs w:val="24"/>
        </w:rPr>
        <w:t>copyrightable, if the defendants’ use was truly an unauthorized reproduction, and if such use was signifi</w:t>
      </w:r>
      <w:r w:rsidR="003300B1" w:rsidRPr="002C3DD7">
        <w:rPr>
          <w:rFonts w:ascii="Times New Roman" w:hAnsi="Times New Roman" w:cs="Times New Roman"/>
          <w:sz w:val="24"/>
          <w:szCs w:val="24"/>
        </w:rPr>
        <w:t>cant or merely incidental</w:t>
      </w:r>
    </w:p>
    <w:p w:rsidR="003300B1"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lastRenderedPageBreak/>
        <w:t>It was held that placing a pin on a location on the map and showing the map briefly in the ad was not an infringemen</w:t>
      </w:r>
      <w:r w:rsidRPr="002C3DD7">
        <w:rPr>
          <w:rFonts w:ascii="Times New Roman" w:hAnsi="Times New Roman" w:cs="Times New Roman"/>
          <w:sz w:val="24"/>
          <w:szCs w:val="24"/>
        </w:rPr>
        <w:t>t—since the focus of the advert was information relayed r</w:t>
      </w:r>
      <w:r w:rsidR="005629D6" w:rsidRPr="002C3DD7">
        <w:rPr>
          <w:rFonts w:ascii="Times New Roman" w:hAnsi="Times New Roman" w:cs="Times New Roman"/>
          <w:sz w:val="24"/>
          <w:szCs w:val="24"/>
        </w:rPr>
        <w:t>ather than the map itself</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xml:space="preserve"> This clarified that incidental or background use of a copyrighted work in advertising does not necessarily infringe copyright if it is not the main subject of the </w:t>
      </w:r>
      <w:r w:rsidRPr="002C3DD7">
        <w:rPr>
          <w:rFonts w:ascii="Times New Roman" w:hAnsi="Times New Roman" w:cs="Times New Roman"/>
          <w:sz w:val="24"/>
          <w:szCs w:val="24"/>
        </w:rPr>
        <w:t>advert and if no su</w:t>
      </w:r>
      <w:r w:rsidR="005629D6" w:rsidRPr="002C3DD7">
        <w:rPr>
          <w:rFonts w:ascii="Times New Roman" w:hAnsi="Times New Roman" w:cs="Times New Roman"/>
          <w:sz w:val="24"/>
          <w:szCs w:val="24"/>
        </w:rPr>
        <w:t>bstantial part is reproduced</w:t>
      </w:r>
      <w:r w:rsidR="002C3DD7" w:rsidRPr="002C3DD7">
        <w:rPr>
          <w:rFonts w:ascii="Times New Roman" w:hAnsi="Times New Roman" w:cs="Times New Roman"/>
          <w:sz w:val="24"/>
          <w:szCs w:val="24"/>
        </w:rPr>
        <w:t>.</w:t>
      </w:r>
    </w:p>
    <w:p w:rsidR="00F53254" w:rsidRPr="002C3DD7" w:rsidRDefault="00F53254" w:rsidP="002C3DD7">
      <w:pPr>
        <w:pStyle w:val="ListParagraph"/>
        <w:spacing w:line="360" w:lineRule="auto"/>
        <w:jc w:val="both"/>
        <w:rPr>
          <w:rFonts w:ascii="Times New Roman" w:hAnsi="Times New Roman" w:cs="Times New Roman"/>
          <w:sz w:val="24"/>
          <w:szCs w:val="24"/>
        </w:rPr>
      </w:pPr>
    </w:p>
    <w:p w:rsidR="00F53254" w:rsidRPr="002C3DD7" w:rsidRDefault="005629D6" w:rsidP="002C3DD7">
      <w:pPr>
        <w:pStyle w:val="ListParagraph"/>
        <w:spacing w:line="360" w:lineRule="auto"/>
        <w:jc w:val="both"/>
        <w:rPr>
          <w:rFonts w:ascii="Times New Roman" w:hAnsi="Times New Roman" w:cs="Times New Roman"/>
          <w:b/>
          <w:sz w:val="24"/>
          <w:szCs w:val="24"/>
        </w:rPr>
      </w:pPr>
      <w:r w:rsidRPr="002C3DD7">
        <w:rPr>
          <w:rFonts w:ascii="Times New Roman" w:hAnsi="Times New Roman" w:cs="Times New Roman"/>
          <w:sz w:val="24"/>
          <w:szCs w:val="24"/>
        </w:rPr>
        <w:t xml:space="preserve"> </w:t>
      </w:r>
      <w:r w:rsidRPr="002C3DD7">
        <w:rPr>
          <w:rFonts w:ascii="Times New Roman" w:hAnsi="Times New Roman" w:cs="Times New Roman"/>
          <w:b/>
          <w:sz w:val="24"/>
          <w:szCs w:val="24"/>
        </w:rPr>
        <w:t>Critical Reflection</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The Nairobi Map Service vs Celtel Kenya case highlights how Kenyan courts carefully assess the evidence and context before ruling on copyright infringement. Courts</w:t>
      </w:r>
      <w:r w:rsidRPr="002C3DD7">
        <w:rPr>
          <w:rFonts w:ascii="Times New Roman" w:hAnsi="Times New Roman" w:cs="Times New Roman"/>
          <w:sz w:val="24"/>
          <w:szCs w:val="24"/>
        </w:rPr>
        <w:t xml:space="preserve"> ensure:</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Only works that are clearly copyrightable (like original maps) are protected under law.</w:t>
      </w:r>
    </w:p>
    <w:p w:rsidR="003300B1"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 Infringement requires more than incidental or background use; it must be a substantial, prominent, or essential pa</w:t>
      </w:r>
      <w:r w:rsidR="005629D6" w:rsidRPr="002C3DD7">
        <w:rPr>
          <w:rFonts w:ascii="Times New Roman" w:hAnsi="Times New Roman" w:cs="Times New Roman"/>
          <w:sz w:val="24"/>
          <w:szCs w:val="24"/>
        </w:rPr>
        <w:t>rt of the accused work.</w:t>
      </w:r>
    </w:p>
    <w:p w:rsidR="00F53254" w:rsidRPr="002C3DD7" w:rsidRDefault="00324437" w:rsidP="002C3DD7">
      <w:pPr>
        <w:spacing w:line="360" w:lineRule="auto"/>
        <w:jc w:val="both"/>
        <w:rPr>
          <w:rFonts w:ascii="Times New Roman" w:hAnsi="Times New Roman" w:cs="Times New Roman"/>
          <w:sz w:val="24"/>
          <w:szCs w:val="24"/>
        </w:rPr>
      </w:pPr>
      <w:r w:rsidRPr="002C3DD7">
        <w:rPr>
          <w:rFonts w:ascii="Times New Roman" w:hAnsi="Times New Roman" w:cs="Times New Roman"/>
          <w:sz w:val="24"/>
          <w:szCs w:val="24"/>
        </w:rPr>
        <w:t>Courts</w:t>
      </w:r>
      <w:r w:rsidRPr="002C3DD7">
        <w:rPr>
          <w:rFonts w:ascii="Times New Roman" w:hAnsi="Times New Roman" w:cs="Times New Roman"/>
          <w:sz w:val="24"/>
          <w:szCs w:val="24"/>
        </w:rPr>
        <w:t xml:space="preserve"> review whether the allegedly infringed portion was central to the new use, not merely present in a subordinate or background context.</w:t>
      </w:r>
    </w:p>
    <w:p w:rsidR="00F53254" w:rsidRDefault="00F53254">
      <w:pPr>
        <w:pStyle w:val="ListParagraph"/>
        <w:spacing w:line="360" w:lineRule="auto"/>
        <w:rPr>
          <w:rFonts w:ascii="Times New Roman" w:hAnsi="Times New Roman" w:cs="Times New Roman"/>
          <w:sz w:val="24"/>
          <w:szCs w:val="24"/>
        </w:rPr>
      </w:pPr>
    </w:p>
    <w:p w:rsidR="00F53254" w:rsidRDefault="00F53254">
      <w:pPr>
        <w:pStyle w:val="ListParagraph"/>
        <w:spacing w:line="360" w:lineRule="auto"/>
        <w:rPr>
          <w:rFonts w:ascii="Times New Roman" w:hAnsi="Times New Roman" w:cs="Times New Roman"/>
          <w:sz w:val="24"/>
          <w:szCs w:val="24"/>
        </w:rPr>
      </w:pPr>
    </w:p>
    <w:p w:rsidR="00F53254" w:rsidRDefault="00F53254">
      <w:pPr>
        <w:pStyle w:val="ListParagraph"/>
        <w:spacing w:line="360" w:lineRule="auto"/>
        <w:rPr>
          <w:rFonts w:ascii="Times New Roman" w:hAnsi="Times New Roman" w:cs="Times New Roman"/>
          <w:sz w:val="24"/>
          <w:szCs w:val="24"/>
        </w:rPr>
      </w:pPr>
    </w:p>
    <w:p w:rsidR="00F53254" w:rsidRDefault="00F53254">
      <w:pPr>
        <w:pStyle w:val="ListParagraph"/>
        <w:spacing w:line="360" w:lineRule="auto"/>
        <w:rPr>
          <w:rFonts w:ascii="Times New Roman" w:hAnsi="Times New Roman" w:cs="Times New Roman"/>
          <w:sz w:val="24"/>
          <w:szCs w:val="24"/>
        </w:rPr>
      </w:pPr>
    </w:p>
    <w:p w:rsidR="00F53254" w:rsidRDefault="00F53254">
      <w:pPr>
        <w:pStyle w:val="ListParagraph"/>
        <w:spacing w:line="360" w:lineRule="auto"/>
        <w:rPr>
          <w:rFonts w:ascii="Times New Roman" w:hAnsi="Times New Roman" w:cs="Times New Roman"/>
          <w:sz w:val="24"/>
          <w:szCs w:val="24"/>
        </w:rPr>
      </w:pPr>
    </w:p>
    <w:p w:rsidR="00F53254" w:rsidRDefault="00F53254">
      <w:pPr>
        <w:pStyle w:val="ListParagraph"/>
        <w:spacing w:line="360" w:lineRule="auto"/>
        <w:rPr>
          <w:rFonts w:ascii="Times New Roman" w:hAnsi="Times New Roman" w:cs="Times New Roman"/>
          <w:sz w:val="24"/>
          <w:szCs w:val="24"/>
        </w:rPr>
      </w:pPr>
    </w:p>
    <w:p w:rsidR="00F53254" w:rsidRDefault="00F53254">
      <w:pPr>
        <w:pStyle w:val="ListParagraph"/>
        <w:spacing w:line="360" w:lineRule="auto"/>
        <w:rPr>
          <w:rFonts w:ascii="Times New Roman" w:hAnsi="Times New Roman" w:cs="Times New Roman"/>
          <w:sz w:val="24"/>
          <w:szCs w:val="24"/>
        </w:rPr>
      </w:pPr>
    </w:p>
    <w:p w:rsidR="00F53254" w:rsidRDefault="00F53254">
      <w:pPr>
        <w:pStyle w:val="ListParagraph"/>
        <w:spacing w:line="360" w:lineRule="auto"/>
        <w:rPr>
          <w:rFonts w:ascii="Times New Roman" w:hAnsi="Times New Roman" w:cs="Times New Roman"/>
          <w:sz w:val="24"/>
          <w:szCs w:val="24"/>
        </w:rPr>
      </w:pPr>
    </w:p>
    <w:p w:rsidR="00F53254" w:rsidRDefault="00F53254">
      <w:pPr>
        <w:pStyle w:val="ListParagraph"/>
        <w:spacing w:line="360" w:lineRule="auto"/>
        <w:rPr>
          <w:rFonts w:ascii="Times New Roman" w:hAnsi="Times New Roman" w:cs="Times New Roman"/>
          <w:sz w:val="24"/>
          <w:szCs w:val="24"/>
        </w:rPr>
      </w:pPr>
    </w:p>
    <w:p w:rsidR="00F53254" w:rsidRDefault="00F53254">
      <w:pPr>
        <w:pStyle w:val="ListParagraph"/>
        <w:spacing w:line="360" w:lineRule="auto"/>
        <w:rPr>
          <w:rFonts w:ascii="Times New Roman" w:hAnsi="Times New Roman" w:cs="Times New Roman"/>
          <w:sz w:val="24"/>
          <w:szCs w:val="24"/>
        </w:rPr>
      </w:pPr>
    </w:p>
    <w:p w:rsidR="00F53254" w:rsidRDefault="00F53254">
      <w:pPr>
        <w:pStyle w:val="ListParagraph"/>
        <w:spacing w:line="360" w:lineRule="auto"/>
        <w:rPr>
          <w:rFonts w:ascii="Times New Roman" w:hAnsi="Times New Roman" w:cs="Times New Roman"/>
          <w:sz w:val="24"/>
          <w:szCs w:val="24"/>
        </w:rPr>
      </w:pPr>
    </w:p>
    <w:p w:rsidR="00F53254" w:rsidRDefault="00F53254">
      <w:pPr>
        <w:spacing w:line="360" w:lineRule="auto"/>
        <w:rPr>
          <w:rFonts w:ascii="Times New Roman" w:hAnsi="Times New Roman" w:cs="Times New Roman"/>
          <w:sz w:val="24"/>
          <w:szCs w:val="24"/>
        </w:rPr>
      </w:pPr>
    </w:p>
    <w:p w:rsidR="00F53254" w:rsidRDefault="00F53254">
      <w:pPr>
        <w:pStyle w:val="ListParagraph"/>
        <w:spacing w:line="360" w:lineRule="auto"/>
        <w:rPr>
          <w:rFonts w:ascii="Times New Roman" w:hAnsi="Times New Roman" w:cs="Times New Roman"/>
          <w:sz w:val="24"/>
          <w:szCs w:val="24"/>
        </w:rPr>
      </w:pPr>
    </w:p>
    <w:p w:rsidR="00F53254" w:rsidRDefault="00F53254">
      <w:pPr>
        <w:pStyle w:val="ListParagraph"/>
        <w:spacing w:line="360" w:lineRule="auto"/>
        <w:rPr>
          <w:rFonts w:ascii="Times New Roman" w:hAnsi="Times New Roman" w:cs="Times New Roman"/>
          <w:sz w:val="24"/>
          <w:szCs w:val="24"/>
        </w:rPr>
      </w:pPr>
    </w:p>
    <w:p w:rsidR="00F53254" w:rsidRDefault="00F53254">
      <w:pPr>
        <w:spacing w:line="360" w:lineRule="auto"/>
        <w:rPr>
          <w:rFonts w:ascii="Times New Roman" w:hAnsi="Times New Roman" w:cs="Times New Roman"/>
          <w:sz w:val="24"/>
          <w:szCs w:val="24"/>
        </w:rPr>
      </w:pPr>
    </w:p>
    <w:sectPr w:rsidR="00F5325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4437" w:rsidRDefault="00324437">
      <w:pPr>
        <w:spacing w:after="0" w:line="240" w:lineRule="auto"/>
      </w:pPr>
      <w:r>
        <w:separator/>
      </w:r>
    </w:p>
  </w:endnote>
  <w:endnote w:type="continuationSeparator" w:id="0">
    <w:p w:rsidR="00324437" w:rsidRDefault="003244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4437" w:rsidRDefault="00324437">
      <w:pPr>
        <w:spacing w:after="0" w:line="240" w:lineRule="auto"/>
      </w:pPr>
      <w:r>
        <w:separator/>
      </w:r>
    </w:p>
  </w:footnote>
  <w:footnote w:type="continuationSeparator" w:id="0">
    <w:p w:rsidR="00324437" w:rsidRDefault="00324437">
      <w:pPr>
        <w:spacing w:after="0" w:line="240" w:lineRule="auto"/>
      </w:pPr>
      <w:r>
        <w:continuationSeparator/>
      </w:r>
    </w:p>
  </w:footnote>
  <w:footnote w:id="1">
    <w:p w:rsidR="00EC7981" w:rsidRDefault="00EC7981">
      <w:pPr>
        <w:pStyle w:val="FootnoteText"/>
      </w:pPr>
      <w:r>
        <w:rPr>
          <w:rStyle w:val="FootnoteReference"/>
        </w:rPr>
        <w:footnoteRef/>
      </w:r>
      <w:r>
        <w:t xml:space="preserve"> </w:t>
      </w:r>
      <w:r w:rsidR="00610BF8" w:rsidRPr="00610BF8">
        <w:rPr>
          <w:rFonts w:ascii="Times New Roman" w:hAnsi="Times New Roman" w:cs="Times New Roman"/>
        </w:rPr>
        <w:t>Nairobi Map Service limited vs Ceitel Kenya Limited &amp; 2 others</w:t>
      </w:r>
    </w:p>
  </w:footnote>
  <w:footnote w:id="2">
    <w:p w:rsidR="00F53254" w:rsidRPr="00EC7981" w:rsidRDefault="00324437">
      <w:pPr>
        <w:pStyle w:val="FootnoteText"/>
        <w:rPr>
          <w:rFonts w:ascii="Times New Roman" w:hAnsi="Times New Roman" w:cs="Times New Roman"/>
        </w:rPr>
      </w:pPr>
      <w:r w:rsidRPr="00EC7981">
        <w:rPr>
          <w:rStyle w:val="FootnoteReference"/>
          <w:rFonts w:ascii="Times New Roman" w:hAnsi="Times New Roman" w:cs="Times New Roman"/>
        </w:rPr>
        <w:footnoteRef/>
      </w:r>
      <w:r w:rsidRPr="00EC7981">
        <w:rPr>
          <w:rFonts w:ascii="Times New Roman" w:hAnsi="Times New Roman" w:cs="Times New Roman"/>
        </w:rPr>
        <w:t xml:space="preserve"> </w:t>
      </w:r>
      <w:r w:rsidR="00610BF8">
        <w:rPr>
          <w:rFonts w:ascii="Times New Roman" w:hAnsi="Times New Roman" w:cs="Times New Roman"/>
        </w:rPr>
        <w:t>Copyright Act No 201,</w:t>
      </w:r>
      <w:r w:rsidRPr="00EC7981">
        <w:rPr>
          <w:rFonts w:ascii="Times New Roman" w:hAnsi="Times New Roman" w:cs="Times New Roman"/>
        </w:rPr>
        <w:t xml:space="preserve"> section 22</w:t>
      </w:r>
    </w:p>
  </w:footnote>
  <w:footnote w:id="3">
    <w:p w:rsidR="00610BF8" w:rsidRDefault="00610BF8">
      <w:pPr>
        <w:pStyle w:val="FootnoteText"/>
      </w:pPr>
      <w:r>
        <w:rPr>
          <w:rStyle w:val="FootnoteReference"/>
        </w:rPr>
        <w:footnoteRef/>
      </w:r>
      <w:r>
        <w:t xml:space="preserve"> </w:t>
      </w:r>
      <w:r w:rsidRPr="00610BF8">
        <w:rPr>
          <w:rFonts w:ascii="Times New Roman" w:hAnsi="Times New Roman" w:cs="Times New Roman"/>
          <w:i/>
        </w:rPr>
        <w:t>Ibid,</w:t>
      </w:r>
      <w:r w:rsidRPr="00610BF8">
        <w:rPr>
          <w:rFonts w:ascii="Times New Roman" w:hAnsi="Times New Roman" w:cs="Times New Roman"/>
        </w:rPr>
        <w:t xml:space="preserve"> section 26</w:t>
      </w:r>
    </w:p>
  </w:footnote>
  <w:footnote w:id="4">
    <w:p w:rsidR="00F53254" w:rsidRDefault="00324437">
      <w:pPr>
        <w:pStyle w:val="FootnoteText"/>
      </w:pPr>
      <w:r w:rsidRPr="00EC7981">
        <w:rPr>
          <w:rStyle w:val="FootnoteReference"/>
          <w:rFonts w:ascii="Times New Roman" w:hAnsi="Times New Roman" w:cs="Times New Roman"/>
        </w:rPr>
        <w:footnoteRef/>
      </w:r>
      <w:r w:rsidRPr="00EC7981">
        <w:rPr>
          <w:rFonts w:ascii="Times New Roman" w:hAnsi="Times New Roman" w:cs="Times New Roman"/>
        </w:rPr>
        <w:t xml:space="preserve"> </w:t>
      </w:r>
      <w:r w:rsidRPr="00EC7981">
        <w:rPr>
          <w:rFonts w:ascii="Times New Roman" w:hAnsi="Times New Roman" w:cs="Times New Roman"/>
        </w:rPr>
        <w:t>IPC  Magazines limited vs MGN limited (1998) F.S.R 431</w:t>
      </w:r>
    </w:p>
  </w:footnote>
  <w:footnote w:id="5">
    <w:p w:rsidR="00610BF8" w:rsidRDefault="00610BF8">
      <w:pPr>
        <w:pStyle w:val="FootnoteText"/>
      </w:pPr>
      <w:r>
        <w:rPr>
          <w:rStyle w:val="FootnoteReference"/>
        </w:rPr>
        <w:footnoteRef/>
      </w:r>
      <w:r>
        <w:t xml:space="preserve"> </w:t>
      </w:r>
      <w:r w:rsidRPr="00610BF8">
        <w:rPr>
          <w:rFonts w:ascii="Times New Roman" w:hAnsi="Times New Roman" w:cs="Times New Roman"/>
          <w:i/>
        </w:rPr>
        <w:t>Ibid,</w:t>
      </w:r>
      <w:r>
        <w:rPr>
          <w:rFonts w:ascii="Times New Roman" w:hAnsi="Times New Roman" w:cs="Times New Roman"/>
          <w:i/>
        </w:rPr>
        <w:t xml:space="preserve"> </w:t>
      </w:r>
      <w:r w:rsidRPr="00610BF8">
        <w:rPr>
          <w:rFonts w:ascii="Times New Roman" w:hAnsi="Times New Roman" w:cs="Times New Roman"/>
        </w:rPr>
        <w:t>section 26</w:t>
      </w:r>
    </w:p>
  </w:footnote>
  <w:footnote w:id="6">
    <w:p w:rsidR="00610BF8" w:rsidRDefault="00610BF8">
      <w:pPr>
        <w:pStyle w:val="FootnoteText"/>
      </w:pPr>
      <w:r>
        <w:rPr>
          <w:rStyle w:val="FootnoteReference"/>
        </w:rPr>
        <w:footnoteRef/>
      </w:r>
      <w:r>
        <w:t xml:space="preserve"> </w:t>
      </w:r>
      <w:r w:rsidRPr="00610BF8">
        <w:rPr>
          <w:rFonts w:ascii="Times New Roman" w:hAnsi="Times New Roman" w:cs="Times New Roman"/>
        </w:rPr>
        <w:t>League laminant vs Donnin UK Limited</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tmpl w:val="879E3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0F11AA"/>
    <w:multiLevelType w:val="multilevel"/>
    <w:tmpl w:val="CC5A3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3052BB"/>
    <w:multiLevelType w:val="multilevel"/>
    <w:tmpl w:val="11AA2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254"/>
    <w:rsid w:val="002C3DD7"/>
    <w:rsid w:val="002F7534"/>
    <w:rsid w:val="00317257"/>
    <w:rsid w:val="00324437"/>
    <w:rsid w:val="003300B1"/>
    <w:rsid w:val="00373B6B"/>
    <w:rsid w:val="00455719"/>
    <w:rsid w:val="005629D6"/>
    <w:rsid w:val="00610BF8"/>
    <w:rsid w:val="006E2138"/>
    <w:rsid w:val="00D90C08"/>
    <w:rsid w:val="00EC7981"/>
    <w:rsid w:val="00F532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06CE8B-0141-4857-BE9A-74247CE76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FootnoteReference">
    <w:name w:val="footnote reference"/>
    <w:aliases w:val="Footnote Text Char"/>
    <w:basedOn w:val="DefaultParagraphFont"/>
    <w:link w:val="FootnoteText"/>
    <w:uiPriority w:val="99"/>
    <w:rPr>
      <w:vertAlign w:val="superscript"/>
    </w:rPr>
  </w:style>
  <w:style w:type="paragraph" w:styleId="FootnoteText">
    <w:name w:val="footnote text"/>
    <w:basedOn w:val="Normal"/>
    <w:next w:val="Normal"/>
    <w:link w:val="FootnoteReference"/>
    <w:uiPriority w:val="99"/>
    <w:pPr>
      <w:snapToGrid w:val="0"/>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1073244">
      <w:bodyDiv w:val="1"/>
      <w:marLeft w:val="0"/>
      <w:marRight w:val="0"/>
      <w:marTop w:val="0"/>
      <w:marBottom w:val="0"/>
      <w:divBdr>
        <w:top w:val="none" w:sz="0" w:space="0" w:color="auto"/>
        <w:left w:val="none" w:sz="0" w:space="0" w:color="auto"/>
        <w:bottom w:val="none" w:sz="0" w:space="0" w:color="auto"/>
        <w:right w:val="none" w:sz="0" w:space="0" w:color="auto"/>
      </w:divBdr>
    </w:div>
    <w:div w:id="10721976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A51A28-37BE-4B10-A914-7CBB4F972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7</Pages>
  <Words>1369</Words>
  <Characters>7804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Parklands Lab</dc:creator>
  <cp:lastModifiedBy>Parklands Lab</cp:lastModifiedBy>
  <cp:revision>3</cp:revision>
  <dcterms:created xsi:type="dcterms:W3CDTF">2025-11-21T08:31:00Z</dcterms:created>
  <dcterms:modified xsi:type="dcterms:W3CDTF">2025-11-21T09:44:00Z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6d09a88481614634887f1d96faf48fa1</vt:lpwstr>
  </property>
</Properties>
</file>